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rsidP="00450137">
      <w:pPr>
        <w:spacing w:line="360" w:lineRule="auto"/>
        <w:rPr>
          <w:rtl/>
        </w:rPr>
      </w:pPr>
    </w:p>
    <w:tbl>
      <w:tblPr>
        <w:tblStyle w:val="a8"/>
        <w:bidiVisual/>
        <w:tblW w:w="8820" w:type="dxa"/>
        <w:jc w:val="center"/>
        <w:tblLook w:val="01E0" w:firstRow="1" w:lastRow="1" w:firstColumn="1" w:lastColumn="1" w:noHBand="0" w:noVBand="0"/>
      </w:tblPr>
      <w:tblGrid>
        <w:gridCol w:w="1332"/>
        <w:gridCol w:w="4162"/>
        <w:gridCol w:w="3326"/>
      </w:tblGrid>
      <w:tr w:rsidR="00CE2F98" w:rsidRPr="00450137" w:rsidTr="0046211B">
        <w:trPr>
          <w:trHeight w:val="295"/>
          <w:jc w:val="center"/>
        </w:trPr>
        <w:tc>
          <w:tcPr>
            <w:tcW w:w="8820" w:type="dxa"/>
            <w:gridSpan w:val="3"/>
            <w:tcBorders>
              <w:top w:val="nil"/>
              <w:left w:val="nil"/>
              <w:bottom w:val="nil"/>
              <w:right w:val="nil"/>
            </w:tcBorders>
          </w:tcPr>
          <w:p w:rsidR="00CE2F98" w:rsidRPr="00450137" w:rsidRDefault="00CE2F98" w:rsidP="00450137">
            <w:pPr>
              <w:spacing w:line="360" w:lineRule="auto"/>
              <w:jc w:val="both"/>
              <w:rPr>
                <w:b/>
                <w:bCs/>
                <w:sz w:val="26"/>
                <w:szCs w:val="26"/>
                <w:rtl/>
              </w:rPr>
            </w:pPr>
            <w:r w:rsidRPr="00450137">
              <w:rPr>
                <w:rFonts w:ascii="Arial" w:hAnsi="Arial" w:hint="cs"/>
                <w:b/>
                <w:bCs/>
                <w:sz w:val="26"/>
                <w:szCs w:val="26"/>
                <w:rtl/>
              </w:rPr>
              <w:t>ל</w:t>
            </w:r>
            <w:r w:rsidRPr="00450137">
              <w:rPr>
                <w:rFonts w:ascii="Arial" w:hAnsi="Arial"/>
                <w:b/>
                <w:bCs/>
                <w:sz w:val="26"/>
                <w:szCs w:val="26"/>
                <w:rtl/>
              </w:rPr>
              <w:t xml:space="preserve">פני </w:t>
            </w:r>
            <w:r w:rsidRPr="00450137">
              <w:rPr>
                <w:rFonts w:ascii="Arial" w:hAnsi="Arial" w:hint="cs"/>
                <w:b/>
                <w:bCs/>
                <w:sz w:val="26"/>
                <w:szCs w:val="26"/>
                <w:rtl/>
              </w:rPr>
              <w:t>כבוד ה</w:t>
            </w:r>
            <w:sdt>
              <w:sdtPr>
                <w:rPr>
                  <w:b/>
                  <w:bCs/>
                  <w:sz w:val="26"/>
                  <w:szCs w:val="26"/>
                  <w:rtl/>
                </w:rPr>
                <w:alias w:val="1574"/>
                <w:tag w:val="1574"/>
                <w:id w:val="-1615122647"/>
                <w:text w:multiLine="1"/>
              </w:sdtPr>
              <w:sdtEndPr/>
              <w:sdtContent>
                <w:r w:rsidRPr="00450137">
                  <w:rPr>
                    <w:rFonts w:ascii="Arial" w:hAnsi="Arial"/>
                    <w:b/>
                    <w:bCs/>
                    <w:sz w:val="26"/>
                    <w:szCs w:val="26"/>
                    <w:rtl/>
                  </w:rPr>
                  <w:t xml:space="preserve">שופט </w:t>
                </w:r>
                <w:r w:rsidR="00450137" w:rsidRPr="00450137">
                  <w:rPr>
                    <w:rFonts w:ascii="Arial" w:hAnsi="Arial" w:hint="cs"/>
                    <w:b/>
                    <w:bCs/>
                    <w:sz w:val="26"/>
                    <w:szCs w:val="26"/>
                    <w:rtl/>
                  </w:rPr>
                  <w:t>ה</w:t>
                </w:r>
                <w:r w:rsidRPr="00450137">
                  <w:rPr>
                    <w:rFonts w:ascii="Arial" w:hAnsi="Arial"/>
                    <w:b/>
                    <w:bCs/>
                    <w:sz w:val="26"/>
                    <w:szCs w:val="26"/>
                    <w:rtl/>
                  </w:rPr>
                  <w:t>בכיר</w:t>
                </w:r>
              </w:sdtContent>
            </w:sdt>
            <w:r w:rsidR="00450137" w:rsidRPr="00450137">
              <w:rPr>
                <w:rFonts w:ascii="Arial" w:hAnsi="Arial" w:hint="cs"/>
                <w:b/>
                <w:bCs/>
                <w:sz w:val="26"/>
                <w:szCs w:val="26"/>
                <w:rtl/>
              </w:rPr>
              <w:t xml:space="preserve"> </w:t>
            </w:r>
            <w:sdt>
              <w:sdtPr>
                <w:rPr>
                  <w:b/>
                  <w:bCs/>
                  <w:sz w:val="26"/>
                  <w:szCs w:val="26"/>
                  <w:rtl/>
                </w:rPr>
                <w:alias w:val="1573"/>
                <w:tag w:val="1573"/>
                <w:id w:val="-1715807626"/>
                <w:text w:multiLine="1"/>
              </w:sdtPr>
              <w:sdtEndPr/>
              <w:sdtContent>
                <w:r w:rsidRPr="00450137">
                  <w:rPr>
                    <w:rFonts w:ascii="Arial" w:hAnsi="Arial"/>
                    <w:b/>
                    <w:bCs/>
                    <w:sz w:val="26"/>
                    <w:szCs w:val="26"/>
                    <w:rtl/>
                  </w:rPr>
                  <w:t>שאול אבינור</w:t>
                </w:r>
              </w:sdtContent>
            </w:sdt>
          </w:p>
          <w:p w:rsidR="00450137" w:rsidRPr="00450137" w:rsidRDefault="00450137" w:rsidP="00450137">
            <w:pPr>
              <w:spacing w:line="360" w:lineRule="auto"/>
              <w:jc w:val="both"/>
              <w:rPr>
                <w:rFonts w:ascii="Arial" w:hAnsi="Arial"/>
                <w:b/>
                <w:bCs/>
                <w:sz w:val="26"/>
                <w:szCs w:val="26"/>
              </w:rPr>
            </w:pPr>
          </w:p>
        </w:tc>
      </w:tr>
      <w:tr w:rsidR="00507694" w:rsidRPr="00450137" w:rsidTr="004D24E2">
        <w:trPr>
          <w:trHeight w:val="355"/>
          <w:jc w:val="center"/>
        </w:trPr>
        <w:tc>
          <w:tcPr>
            <w:tcW w:w="885" w:type="dxa"/>
            <w:tcBorders>
              <w:top w:val="nil"/>
              <w:left w:val="nil"/>
              <w:bottom w:val="nil"/>
              <w:right w:val="nil"/>
            </w:tcBorders>
          </w:tcPr>
          <w:p w:rsidR="00507694" w:rsidRPr="00450137" w:rsidRDefault="00632D94" w:rsidP="00450137">
            <w:pPr>
              <w:spacing w:line="360" w:lineRule="auto"/>
              <w:jc w:val="both"/>
              <w:rPr>
                <w:rFonts w:ascii="Arial" w:hAnsi="Arial"/>
                <w:b/>
                <w:bCs/>
                <w:sz w:val="26"/>
                <w:szCs w:val="26"/>
              </w:rPr>
            </w:pPr>
            <w:r w:rsidRPr="00450137">
              <w:rPr>
                <w:rFonts w:ascii="Arial" w:hAnsi="Arial" w:hint="cs"/>
                <w:b/>
                <w:bCs/>
                <w:sz w:val="26"/>
                <w:szCs w:val="26"/>
                <w:rtl/>
              </w:rPr>
              <w:t>ה</w:t>
            </w:r>
            <w:sdt>
              <w:sdtPr>
                <w:rPr>
                  <w:b/>
                  <w:bCs/>
                  <w:sz w:val="26"/>
                  <w:szCs w:val="26"/>
                  <w:rtl/>
                </w:rPr>
                <w:alias w:val="1180"/>
                <w:tag w:val="1180"/>
                <w:id w:val="-217131131"/>
                <w:text w:multiLine="1"/>
              </w:sdtPr>
              <w:sdtEndPr/>
              <w:sdtContent>
                <w:r w:rsidRPr="00450137">
                  <w:rPr>
                    <w:rFonts w:ascii="Arial" w:hAnsi="Arial"/>
                    <w:b/>
                    <w:bCs/>
                    <w:sz w:val="26"/>
                    <w:szCs w:val="26"/>
                    <w:rtl/>
                  </w:rPr>
                  <w:t>מאשימה</w:t>
                </w:r>
                <w:r w:rsidR="00450137">
                  <w:rPr>
                    <w:rFonts w:ascii="Arial" w:hAnsi="Arial" w:hint="cs"/>
                    <w:b/>
                    <w:bCs/>
                    <w:sz w:val="26"/>
                    <w:szCs w:val="26"/>
                    <w:rtl/>
                  </w:rPr>
                  <w:t>:</w:t>
                </w:r>
              </w:sdtContent>
            </w:sdt>
          </w:p>
        </w:tc>
        <w:tc>
          <w:tcPr>
            <w:tcW w:w="4384" w:type="dxa"/>
            <w:tcBorders>
              <w:top w:val="nil"/>
              <w:left w:val="nil"/>
              <w:bottom w:val="nil"/>
              <w:right w:val="nil"/>
            </w:tcBorders>
          </w:tcPr>
          <w:p w:rsidR="00507694" w:rsidRPr="00450137" w:rsidRDefault="003255FC" w:rsidP="00450137">
            <w:pPr>
              <w:spacing w:line="360" w:lineRule="auto"/>
              <w:rPr>
                <w:b/>
                <w:bCs/>
                <w:sz w:val="26"/>
                <w:szCs w:val="26"/>
                <w:rtl/>
              </w:rPr>
            </w:pPr>
            <w:sdt>
              <w:sdtPr>
                <w:rPr>
                  <w:b/>
                  <w:bCs/>
                  <w:sz w:val="26"/>
                  <w:szCs w:val="26"/>
                  <w:rtl/>
                </w:rPr>
                <w:alias w:val="1478"/>
                <w:tag w:val="1478"/>
                <w:id w:val="-1270384266"/>
                <w:text w:multiLine="1"/>
              </w:sdtPr>
              <w:sdtEndPr/>
              <w:sdtContent>
                <w:r w:rsidR="00A87018" w:rsidRPr="00450137">
                  <w:rPr>
                    <w:rFonts w:ascii="Arial" w:hAnsi="Arial"/>
                    <w:b/>
                    <w:bCs/>
                    <w:sz w:val="26"/>
                    <w:szCs w:val="26"/>
                    <w:rtl/>
                  </w:rPr>
                  <w:t>מדינת ישראל</w:t>
                </w:r>
              </w:sdtContent>
            </w:sdt>
          </w:p>
          <w:p w:rsidR="007F745F" w:rsidRPr="00450137" w:rsidRDefault="00212457" w:rsidP="00450137">
            <w:pPr>
              <w:spacing w:line="360" w:lineRule="auto"/>
              <w:rPr>
                <w:rtl/>
              </w:rPr>
            </w:pPr>
            <w:r w:rsidRPr="00450137">
              <w:rPr>
                <w:rFonts w:hint="cs"/>
                <w:rtl/>
              </w:rPr>
              <w:t>ע"י ב"כ עו"ד</w:t>
            </w:r>
            <w:r w:rsidR="00450137" w:rsidRPr="00450137">
              <w:rPr>
                <w:rFonts w:hint="cs"/>
                <w:rtl/>
              </w:rPr>
              <w:t xml:space="preserve"> עינב אוראל כהן</w:t>
            </w:r>
          </w:p>
          <w:p w:rsidR="00450137" w:rsidRPr="00450137" w:rsidRDefault="00450137" w:rsidP="00450137">
            <w:pPr>
              <w:spacing w:line="360" w:lineRule="auto"/>
              <w:rPr>
                <w:b/>
                <w:bCs/>
                <w:sz w:val="26"/>
                <w:szCs w:val="26"/>
              </w:rPr>
            </w:pPr>
            <w:r w:rsidRPr="00450137">
              <w:rPr>
                <w:rFonts w:hint="cs"/>
                <w:rtl/>
              </w:rPr>
              <w:t>פרקליטות מחוז תל אביב (מיסוי וכלכלה)</w:t>
            </w:r>
          </w:p>
        </w:tc>
        <w:tc>
          <w:tcPr>
            <w:tcW w:w="3551" w:type="dxa"/>
            <w:tcBorders>
              <w:top w:val="nil"/>
              <w:left w:val="nil"/>
              <w:bottom w:val="nil"/>
              <w:right w:val="nil"/>
            </w:tcBorders>
          </w:tcPr>
          <w:p w:rsidR="00507694" w:rsidRPr="00450137" w:rsidRDefault="00507694" w:rsidP="00450137">
            <w:pPr>
              <w:spacing w:line="360" w:lineRule="auto"/>
              <w:jc w:val="both"/>
              <w:rPr>
                <w:rFonts w:ascii="Arial" w:hAnsi="Arial"/>
                <w:b/>
                <w:bCs/>
                <w:sz w:val="26"/>
                <w:szCs w:val="26"/>
              </w:rPr>
            </w:pPr>
          </w:p>
        </w:tc>
      </w:tr>
      <w:tr w:rsidR="00212457" w:rsidRPr="00450137" w:rsidTr="004D24E2">
        <w:trPr>
          <w:trHeight w:val="373"/>
          <w:jc w:val="center"/>
        </w:trPr>
        <w:tc>
          <w:tcPr>
            <w:tcW w:w="885" w:type="dxa"/>
            <w:tcBorders>
              <w:top w:val="nil"/>
              <w:left w:val="nil"/>
              <w:bottom w:val="nil"/>
              <w:right w:val="nil"/>
            </w:tcBorders>
          </w:tcPr>
          <w:p w:rsidR="00212457" w:rsidRPr="00450137" w:rsidRDefault="00212457" w:rsidP="00450137">
            <w:pPr>
              <w:spacing w:line="360" w:lineRule="auto"/>
              <w:jc w:val="both"/>
              <w:rPr>
                <w:rFonts w:ascii="Arial" w:hAnsi="Arial"/>
                <w:b/>
                <w:bCs/>
                <w:sz w:val="26"/>
                <w:szCs w:val="26"/>
                <w:rtl/>
              </w:rPr>
            </w:pPr>
          </w:p>
        </w:tc>
        <w:tc>
          <w:tcPr>
            <w:tcW w:w="7935" w:type="dxa"/>
            <w:gridSpan w:val="2"/>
            <w:tcBorders>
              <w:top w:val="nil"/>
              <w:left w:val="nil"/>
              <w:bottom w:val="nil"/>
              <w:right w:val="nil"/>
            </w:tcBorders>
          </w:tcPr>
          <w:p w:rsidR="00212457" w:rsidRDefault="00212457" w:rsidP="00450137">
            <w:pPr>
              <w:spacing w:line="360" w:lineRule="auto"/>
              <w:jc w:val="center"/>
              <w:rPr>
                <w:rFonts w:ascii="Arial" w:hAnsi="Arial"/>
                <w:b/>
                <w:bCs/>
                <w:sz w:val="26"/>
                <w:szCs w:val="26"/>
                <w:rtl/>
              </w:rPr>
            </w:pPr>
          </w:p>
          <w:p w:rsidR="00450137" w:rsidRPr="00450137" w:rsidRDefault="00450137" w:rsidP="00450137">
            <w:pPr>
              <w:spacing w:line="360" w:lineRule="auto"/>
              <w:jc w:val="center"/>
              <w:rPr>
                <w:rFonts w:ascii="Arial" w:hAnsi="Arial"/>
                <w:b/>
                <w:bCs/>
                <w:sz w:val="26"/>
                <w:szCs w:val="26"/>
                <w:rtl/>
              </w:rPr>
            </w:pPr>
          </w:p>
          <w:p w:rsidR="00212457" w:rsidRPr="00450137" w:rsidRDefault="00212457" w:rsidP="00450137">
            <w:pPr>
              <w:spacing w:line="360" w:lineRule="auto"/>
              <w:jc w:val="center"/>
              <w:rPr>
                <w:rFonts w:ascii="Arial" w:hAnsi="Arial"/>
                <w:b/>
                <w:bCs/>
                <w:sz w:val="26"/>
                <w:szCs w:val="26"/>
                <w:rtl/>
              </w:rPr>
            </w:pPr>
            <w:r w:rsidRPr="00450137">
              <w:rPr>
                <w:rFonts w:ascii="Arial" w:hAnsi="Arial"/>
                <w:b/>
                <w:bCs/>
                <w:sz w:val="26"/>
                <w:szCs w:val="26"/>
                <w:rtl/>
              </w:rPr>
              <w:t>נגד</w:t>
            </w:r>
          </w:p>
          <w:p w:rsidR="00212457" w:rsidRDefault="00212457" w:rsidP="00450137">
            <w:pPr>
              <w:spacing w:line="360" w:lineRule="auto"/>
              <w:jc w:val="both"/>
              <w:rPr>
                <w:rFonts w:ascii="Arial" w:hAnsi="Arial"/>
                <w:b/>
                <w:bCs/>
                <w:sz w:val="26"/>
                <w:szCs w:val="26"/>
                <w:rtl/>
              </w:rPr>
            </w:pPr>
          </w:p>
          <w:p w:rsidR="00450137" w:rsidRPr="00450137" w:rsidRDefault="00450137" w:rsidP="00450137">
            <w:pPr>
              <w:spacing w:line="360" w:lineRule="auto"/>
              <w:jc w:val="both"/>
              <w:rPr>
                <w:rFonts w:ascii="Arial" w:hAnsi="Arial"/>
                <w:b/>
                <w:bCs/>
                <w:sz w:val="26"/>
                <w:szCs w:val="26"/>
              </w:rPr>
            </w:pPr>
          </w:p>
        </w:tc>
      </w:tr>
      <w:tr w:rsidR="00212457" w:rsidRPr="00450137" w:rsidTr="004D24E2">
        <w:trPr>
          <w:trHeight w:val="355"/>
          <w:jc w:val="center"/>
        </w:trPr>
        <w:tc>
          <w:tcPr>
            <w:tcW w:w="885" w:type="dxa"/>
            <w:tcBorders>
              <w:top w:val="nil"/>
              <w:left w:val="nil"/>
              <w:bottom w:val="nil"/>
              <w:right w:val="nil"/>
            </w:tcBorders>
          </w:tcPr>
          <w:p w:rsidR="00212457" w:rsidRPr="00450137" w:rsidRDefault="00632D94" w:rsidP="00450137">
            <w:pPr>
              <w:spacing w:line="360" w:lineRule="auto"/>
              <w:rPr>
                <w:rFonts w:ascii="Arial" w:hAnsi="Arial"/>
                <w:b/>
                <w:bCs/>
                <w:sz w:val="26"/>
                <w:szCs w:val="26"/>
                <w:rtl/>
              </w:rPr>
            </w:pPr>
            <w:r w:rsidRPr="00450137">
              <w:rPr>
                <w:rFonts w:ascii="Arial" w:hAnsi="Arial" w:hint="cs"/>
                <w:b/>
                <w:bCs/>
                <w:sz w:val="26"/>
                <w:szCs w:val="26"/>
                <w:rtl/>
              </w:rPr>
              <w:t>ה</w:t>
            </w:r>
            <w:sdt>
              <w:sdtPr>
                <w:rPr>
                  <w:b/>
                  <w:bCs/>
                  <w:sz w:val="26"/>
                  <w:szCs w:val="26"/>
                  <w:rtl/>
                </w:rPr>
                <w:alias w:val="1184"/>
                <w:tag w:val="1184"/>
                <w:id w:val="-1508059094"/>
                <w:text w:multiLine="1"/>
              </w:sdtPr>
              <w:sdtEndPr/>
              <w:sdtContent>
                <w:r w:rsidR="00450137">
                  <w:rPr>
                    <w:rFonts w:ascii="Arial" w:hAnsi="Arial"/>
                    <w:b/>
                    <w:bCs/>
                    <w:sz w:val="26"/>
                    <w:szCs w:val="26"/>
                    <w:rtl/>
                  </w:rPr>
                  <w:t>נאש</w:t>
                </w:r>
                <w:r w:rsidRPr="00450137">
                  <w:rPr>
                    <w:rFonts w:ascii="Arial" w:hAnsi="Arial"/>
                    <w:b/>
                    <w:bCs/>
                    <w:sz w:val="26"/>
                    <w:szCs w:val="26"/>
                    <w:rtl/>
                  </w:rPr>
                  <w:t>ם</w:t>
                </w:r>
                <w:r w:rsidR="00450137">
                  <w:rPr>
                    <w:rFonts w:ascii="Arial" w:hAnsi="Arial" w:hint="cs"/>
                    <w:b/>
                    <w:bCs/>
                    <w:sz w:val="26"/>
                    <w:szCs w:val="26"/>
                    <w:rtl/>
                  </w:rPr>
                  <w:t>:</w:t>
                </w:r>
              </w:sdtContent>
            </w:sdt>
          </w:p>
        </w:tc>
        <w:tc>
          <w:tcPr>
            <w:tcW w:w="4384" w:type="dxa"/>
            <w:tcBorders>
              <w:top w:val="nil"/>
              <w:left w:val="nil"/>
              <w:bottom w:val="nil"/>
              <w:right w:val="nil"/>
            </w:tcBorders>
          </w:tcPr>
          <w:p w:rsidR="00212457" w:rsidRPr="00450137" w:rsidRDefault="003255FC" w:rsidP="00450137">
            <w:pPr>
              <w:spacing w:line="360" w:lineRule="auto"/>
              <w:rPr>
                <w:b/>
                <w:bCs/>
                <w:sz w:val="26"/>
                <w:szCs w:val="26"/>
                <w:rtl/>
              </w:rPr>
            </w:pPr>
            <w:sdt>
              <w:sdtPr>
                <w:rPr>
                  <w:b/>
                  <w:bCs/>
                  <w:sz w:val="26"/>
                  <w:szCs w:val="26"/>
                  <w:rtl/>
                </w:rPr>
                <w:alias w:val="1486"/>
                <w:tag w:val="1486"/>
                <w:id w:val="-1964416617"/>
                <w:text w:multiLine="1"/>
              </w:sdtPr>
              <w:sdtEndPr/>
              <w:sdtContent>
                <w:r w:rsidR="00A87018" w:rsidRPr="00450137">
                  <w:rPr>
                    <w:rFonts w:ascii="Arial" w:hAnsi="Arial"/>
                    <w:b/>
                    <w:bCs/>
                    <w:sz w:val="26"/>
                    <w:szCs w:val="26"/>
                    <w:rtl/>
                  </w:rPr>
                  <w:t>נתנאל אור כהן</w:t>
                </w:r>
              </w:sdtContent>
            </w:sdt>
          </w:p>
          <w:p w:rsidR="00212457" w:rsidRPr="00450137" w:rsidRDefault="00212457" w:rsidP="00450137">
            <w:pPr>
              <w:spacing w:line="360" w:lineRule="auto"/>
              <w:rPr>
                <w:sz w:val="26"/>
                <w:szCs w:val="26"/>
                <w:rtl/>
              </w:rPr>
            </w:pPr>
            <w:r w:rsidRPr="00450137">
              <w:rPr>
                <w:rFonts w:hint="cs"/>
                <w:rtl/>
              </w:rPr>
              <w:t>ע"י ב"כ עו"ד</w:t>
            </w:r>
            <w:r w:rsidR="00450137" w:rsidRPr="00450137">
              <w:rPr>
                <w:rFonts w:hint="cs"/>
                <w:rtl/>
              </w:rPr>
              <w:t xml:space="preserve"> טוביה יגר</w:t>
            </w:r>
          </w:p>
        </w:tc>
        <w:tc>
          <w:tcPr>
            <w:tcW w:w="3551" w:type="dxa"/>
            <w:tcBorders>
              <w:top w:val="nil"/>
              <w:left w:val="nil"/>
              <w:bottom w:val="nil"/>
              <w:right w:val="nil"/>
            </w:tcBorders>
          </w:tcPr>
          <w:p w:rsidR="00212457" w:rsidRPr="00450137" w:rsidRDefault="00212457" w:rsidP="00450137">
            <w:pPr>
              <w:spacing w:line="360" w:lineRule="auto"/>
              <w:jc w:val="right"/>
              <w:rPr>
                <w:rFonts w:ascii="Arial" w:hAnsi="Arial"/>
                <w:b/>
                <w:bCs/>
                <w:sz w:val="26"/>
                <w:szCs w:val="26"/>
              </w:rPr>
            </w:pPr>
          </w:p>
        </w:tc>
      </w:tr>
    </w:tbl>
    <w:p w:rsidR="00507694" w:rsidRDefault="00507694" w:rsidP="00450137">
      <w:pPr>
        <w:spacing w:line="360" w:lineRule="auto"/>
        <w:rPr>
          <w:b/>
          <w:bCs/>
          <w:rtl/>
        </w:rPr>
      </w:pPr>
    </w:p>
    <w:p w:rsidR="00764BD4" w:rsidRDefault="00764BD4" w:rsidP="00450137">
      <w:pPr>
        <w:spacing w:line="360" w:lineRule="auto"/>
        <w:rPr>
          <w:b/>
          <w:bCs/>
          <w:rtl/>
        </w:rPr>
      </w:pPr>
    </w:p>
    <w:p w:rsidR="00450137" w:rsidRPr="00450137" w:rsidRDefault="00450137" w:rsidP="00450137">
      <w:pPr>
        <w:spacing w:line="360" w:lineRule="auto"/>
        <w:rPr>
          <w:b/>
          <w:bCs/>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450137" w:rsidRDefault="00684E84" w:rsidP="00450137">
            <w:pPr>
              <w:spacing w:after="120" w:line="360" w:lineRule="auto"/>
              <w:jc w:val="center"/>
              <w:rPr>
                <w:rFonts w:ascii="Arial" w:hAnsi="Arial"/>
                <w:sz w:val="36"/>
                <w:szCs w:val="36"/>
                <w:u w:val="single"/>
                <w:rtl/>
              </w:rPr>
            </w:pPr>
            <w:r w:rsidRPr="00450137">
              <w:rPr>
                <w:rFonts w:ascii="Arial" w:hAnsi="Arial" w:hint="cs"/>
                <w:b/>
                <w:bCs/>
                <w:sz w:val="36"/>
                <w:szCs w:val="36"/>
                <w:u w:val="single"/>
                <w:rtl/>
              </w:rPr>
              <w:t>גזר דין</w:t>
            </w:r>
          </w:p>
        </w:tc>
      </w:tr>
    </w:tbl>
    <w:p w:rsidR="00764BD4" w:rsidRDefault="00764BD4" w:rsidP="00764BD4">
      <w:pPr>
        <w:spacing w:after="120" w:line="360" w:lineRule="auto"/>
        <w:jc w:val="both"/>
        <w:rPr>
          <w:rFonts w:ascii="David" w:hAnsi="David"/>
          <w:b/>
          <w:bCs/>
          <w:u w:val="single"/>
          <w:rtl/>
        </w:rPr>
      </w:pPr>
      <w:r>
        <w:rPr>
          <w:rFonts w:ascii="David" w:hAnsi="David"/>
          <w:b/>
          <w:bCs/>
          <w:rtl/>
        </w:rPr>
        <w:t>א.</w:t>
      </w:r>
      <w:r>
        <w:rPr>
          <w:rFonts w:ascii="David" w:hAnsi="David"/>
          <w:b/>
          <w:bCs/>
          <w:rtl/>
        </w:rPr>
        <w:tab/>
      </w:r>
      <w:r>
        <w:rPr>
          <w:rFonts w:ascii="David" w:hAnsi="David"/>
          <w:b/>
          <w:bCs/>
          <w:u w:val="single"/>
          <w:rtl/>
        </w:rPr>
        <w:t>רקע כללי:</w:t>
      </w:r>
    </w:p>
    <w:p w:rsidR="00764BD4" w:rsidRDefault="00764BD4" w:rsidP="00B94B0D">
      <w:pPr>
        <w:numPr>
          <w:ilvl w:val="0"/>
          <w:numId w:val="3"/>
        </w:numPr>
        <w:tabs>
          <w:tab w:val="num" w:pos="720"/>
        </w:tabs>
        <w:spacing w:after="120" w:line="360" w:lineRule="auto"/>
        <w:ind w:left="720"/>
        <w:jc w:val="both"/>
        <w:rPr>
          <w:rFonts w:ascii="David" w:eastAsia="Calibri" w:hAnsi="David"/>
          <w:rtl/>
        </w:rPr>
      </w:pPr>
      <w:r>
        <w:rPr>
          <w:rFonts w:ascii="David" w:eastAsia="Calibri" w:hAnsi="David"/>
          <w:rtl/>
        </w:rPr>
        <w:t>הנאשם הורשע, כאמור בהכרעת הדין ולאחר שמיעת הראיות, בביצוע שרשרת של עבירות מס ב</w:t>
      </w:r>
      <w:r w:rsidR="008850E2">
        <w:rPr>
          <w:rFonts w:ascii="David" w:eastAsia="Calibri" w:hAnsi="David" w:hint="cs"/>
          <w:rtl/>
        </w:rPr>
        <w:t xml:space="preserve">מהלך </w:t>
      </w:r>
      <w:r>
        <w:rPr>
          <w:rFonts w:ascii="David" w:eastAsia="Calibri" w:hAnsi="David"/>
          <w:rtl/>
        </w:rPr>
        <w:t>תקופה הרלוואנטית ל</w:t>
      </w:r>
      <w:r w:rsidR="00B94B0D">
        <w:rPr>
          <w:rFonts w:ascii="David" w:eastAsia="Calibri" w:hAnsi="David"/>
          <w:rtl/>
        </w:rPr>
        <w:t xml:space="preserve">כתב האישום (שמונה שנות המס </w:t>
      </w:r>
      <w:r w:rsidR="008850E2">
        <w:rPr>
          <w:rFonts w:ascii="David" w:eastAsia="Calibri" w:hAnsi="David" w:hint="cs"/>
          <w:rtl/>
        </w:rPr>
        <w:t>ש</w:t>
      </w:r>
      <w:r w:rsidR="00B94B0D">
        <w:rPr>
          <w:rFonts w:ascii="David" w:eastAsia="Calibri" w:hAnsi="David" w:hint="cs"/>
          <w:rtl/>
        </w:rPr>
        <w:t>מ</w:t>
      </w:r>
      <w:r>
        <w:rPr>
          <w:rFonts w:ascii="David" w:eastAsia="Calibri" w:hAnsi="David"/>
          <w:rtl/>
        </w:rPr>
        <w:t xml:space="preserve">שנת 2008 </w:t>
      </w:r>
      <w:r w:rsidR="00B94B0D">
        <w:rPr>
          <w:rFonts w:ascii="David" w:eastAsia="Calibri" w:hAnsi="David" w:hint="cs"/>
          <w:rtl/>
        </w:rPr>
        <w:t xml:space="preserve">ועד </w:t>
      </w:r>
      <w:r>
        <w:rPr>
          <w:rFonts w:ascii="David" w:eastAsia="Calibri" w:hAnsi="David"/>
          <w:rtl/>
        </w:rPr>
        <w:t xml:space="preserve">שנת 2015); וזאת כלהלן: </w:t>
      </w:r>
      <w:r>
        <w:rPr>
          <w:rFonts w:ascii="David" w:eastAsia="Calibri" w:hAnsi="David"/>
          <w:b/>
          <w:bCs/>
          <w:rtl/>
        </w:rPr>
        <w:t>קיום והכנת רשומות כוזבות</w:t>
      </w:r>
      <w:r>
        <w:rPr>
          <w:rFonts w:ascii="David" w:eastAsia="Calibri" w:hAnsi="David"/>
          <w:rtl/>
        </w:rPr>
        <w:t xml:space="preserve">, לפי הוראות סעיף 220(4) להוראות פקודת מס הכנסה [נוסח חדש] (להלן – הפקודה); </w:t>
      </w:r>
      <w:r>
        <w:rPr>
          <w:rFonts w:ascii="David" w:eastAsia="Calibri" w:hAnsi="David"/>
          <w:b/>
          <w:bCs/>
          <w:rtl/>
        </w:rPr>
        <w:t>השמטת הכנסות מדו"ח</w:t>
      </w:r>
      <w:r>
        <w:rPr>
          <w:rFonts w:ascii="David" w:eastAsia="Calibri" w:hAnsi="David"/>
          <w:rtl/>
        </w:rPr>
        <w:t xml:space="preserve">, לפי הוראות סעיף 220(1) לפקודה; </w:t>
      </w:r>
      <w:r>
        <w:rPr>
          <w:rFonts w:ascii="David" w:eastAsia="Calibri" w:hAnsi="David"/>
          <w:b/>
          <w:bCs/>
          <w:rtl/>
        </w:rPr>
        <w:t>מרמה עורמה ותחבולה</w:t>
      </w:r>
      <w:r>
        <w:rPr>
          <w:rFonts w:ascii="David" w:eastAsia="Calibri" w:hAnsi="David"/>
          <w:rtl/>
        </w:rPr>
        <w:t>, לפי הוראות סעיף 220(5) לפקודה; ו</w:t>
      </w:r>
      <w:r>
        <w:rPr>
          <w:rFonts w:ascii="David" w:eastAsia="Calibri" w:hAnsi="David"/>
          <w:b/>
          <w:bCs/>
          <w:rtl/>
        </w:rPr>
        <w:t>מסירת ידיעה כוזבת</w:t>
      </w:r>
      <w:r>
        <w:rPr>
          <w:rFonts w:ascii="David" w:eastAsia="Calibri" w:hAnsi="David"/>
          <w:rtl/>
        </w:rPr>
        <w:t>, לפי הוראות סעיף 117(ב)(1) להוראות חוק מס ערך מוסף, תשל"ו-1975 (להלן – חוק מע"מ). יוטעם, כי ההרשעה היא בשמונה עבירות בכל אחת מהעבירות הנ"ל, בהתאם לשמונה שנות המס שלגביהן הואשם הנאשם והורשע כאמור.</w:t>
      </w:r>
    </w:p>
    <w:p w:rsidR="00764BD4" w:rsidRDefault="00764BD4" w:rsidP="008F19D0">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הנאשם עוסק, החל משנת 1999, במתן ייעוץ ובמכירת אביזרים הקשורים לעולם המיסטיקה, כמומחה לענייני הקבלה. הנאשם אף הרצה וכתב ספר בנושא. במסגרת עסקו נהג הנאשם לייעץ ללקוחותיו ולערוך להם תיקונים למיניהם, כאשר ל</w:t>
      </w:r>
      <w:r w:rsidR="008F19D0">
        <w:rPr>
          <w:rFonts w:ascii="David" w:eastAsia="Calibri" w:hAnsi="David" w:hint="cs"/>
          <w:rtl/>
        </w:rPr>
        <w:t xml:space="preserve">צרכים אלה </w:t>
      </w:r>
      <w:r>
        <w:rPr>
          <w:rFonts w:ascii="David" w:eastAsia="Calibri" w:hAnsi="David"/>
          <w:rtl/>
        </w:rPr>
        <w:t>מכר להם קמעות, חומרי מזל שונים, או את הספר שכתב. במקביל לניהול עסקו הגיש הנאשם</w:t>
      </w:r>
      <w:r w:rsidR="008F19D0">
        <w:rPr>
          <w:rFonts w:ascii="David" w:eastAsia="Calibri" w:hAnsi="David" w:hint="cs"/>
          <w:rtl/>
        </w:rPr>
        <w:t>,</w:t>
      </w:r>
      <w:r>
        <w:rPr>
          <w:rFonts w:ascii="David" w:eastAsia="Calibri" w:hAnsi="David"/>
          <w:rtl/>
        </w:rPr>
        <w:t xml:space="preserve"> במשך שנים ארוכות</w:t>
      </w:r>
      <w:r w:rsidR="008F19D0">
        <w:rPr>
          <w:rFonts w:ascii="David" w:eastAsia="Calibri" w:hAnsi="David" w:hint="cs"/>
          <w:rtl/>
        </w:rPr>
        <w:t>,</w:t>
      </w:r>
      <w:r>
        <w:rPr>
          <w:rFonts w:ascii="David" w:eastAsia="Calibri" w:hAnsi="David"/>
          <w:rtl/>
        </w:rPr>
        <w:t xml:space="preserve"> תכנית רדיו יומית, בה עסק בתחומים אלה. עסקו של הנאשם עלה ופרח, ומחזוריו בהתאם. בתקופות מסוימות העסיק הנאשם עד 9 עובדים, לרבות כמה וכמה מבני משפחתו וקרוביו.</w:t>
      </w:r>
    </w:p>
    <w:p w:rsidR="00764BD4" w:rsidRDefault="00B94B0D" w:rsidP="008F19D0">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ב</w:t>
      </w:r>
      <w:r w:rsidR="00764BD4">
        <w:rPr>
          <w:rFonts w:ascii="David" w:eastAsia="Calibri" w:hAnsi="David"/>
          <w:rtl/>
        </w:rPr>
        <w:t>כתב האישום הואשם הנאשם בהשמטת חלק ניכר (כ</w:t>
      </w:r>
      <w:r w:rsidR="00693175">
        <w:rPr>
          <w:rFonts w:ascii="David" w:eastAsia="Calibri" w:hAnsi="David" w:hint="cs"/>
          <w:rtl/>
        </w:rPr>
        <w:t xml:space="preserve">מעט </w:t>
      </w:r>
      <w:r w:rsidR="00764BD4">
        <w:rPr>
          <w:rFonts w:ascii="David" w:eastAsia="Calibri" w:hAnsi="David"/>
          <w:rtl/>
        </w:rPr>
        <w:t xml:space="preserve">שליש) מהכנסותיו בתקופה הרלוואנטית, בכך שנהג בעקביות ובשיטתיות להעביר למנהל החשבונות שלו (שאול עבודי) </w:t>
      </w:r>
      <w:r w:rsidR="00764BD4">
        <w:rPr>
          <w:rFonts w:ascii="David" w:eastAsia="Calibri" w:hAnsi="David"/>
          <w:rtl/>
        </w:rPr>
        <w:lastRenderedPageBreak/>
        <w:t>רק חלק מפנקסי חשבוניות המס ששימשו אותו. בנוסף, ובהסתמך על ספרי הנהלת החשבונות שערך מנהל החשבונו</w:t>
      </w:r>
      <w:r w:rsidR="008F19D0">
        <w:rPr>
          <w:rFonts w:ascii="David" w:eastAsia="Calibri" w:hAnsi="David"/>
          <w:rtl/>
        </w:rPr>
        <w:t>ת עבודי (שהיו חסרים עקב העברת</w:t>
      </w:r>
      <w:r w:rsidR="00764BD4">
        <w:rPr>
          <w:rFonts w:ascii="David" w:eastAsia="Calibri" w:hAnsi="David"/>
          <w:rtl/>
        </w:rPr>
        <w:t xml:space="preserve"> חלק מפנקסי החשבוניות</w:t>
      </w:r>
      <w:r w:rsidR="008F19D0">
        <w:rPr>
          <w:rFonts w:ascii="David" w:eastAsia="Calibri" w:hAnsi="David" w:hint="cs"/>
          <w:rtl/>
        </w:rPr>
        <w:t xml:space="preserve"> בלבד</w:t>
      </w:r>
      <w:r>
        <w:rPr>
          <w:rFonts w:ascii="David" w:eastAsia="Calibri" w:hAnsi="David" w:hint="cs"/>
          <w:rtl/>
        </w:rPr>
        <w:t>,</w:t>
      </w:r>
      <w:r w:rsidR="00764BD4">
        <w:rPr>
          <w:rFonts w:ascii="David" w:eastAsia="Calibri" w:hAnsi="David"/>
          <w:rtl/>
        </w:rPr>
        <w:t xml:space="preserve"> כאמור), </w:t>
      </w:r>
      <w:r>
        <w:rPr>
          <w:rFonts w:ascii="David" w:eastAsia="Calibri" w:hAnsi="David" w:hint="cs"/>
          <w:rtl/>
        </w:rPr>
        <w:t xml:space="preserve">נטען כי הנאשם </w:t>
      </w:r>
      <w:r w:rsidR="00764BD4">
        <w:rPr>
          <w:rFonts w:ascii="David" w:eastAsia="Calibri" w:hAnsi="David"/>
          <w:rtl/>
        </w:rPr>
        <w:t xml:space="preserve">הכין והגיש – </w:t>
      </w:r>
      <w:r w:rsidR="008F19D0">
        <w:rPr>
          <w:rFonts w:ascii="David" w:eastAsia="Calibri" w:hAnsi="David"/>
          <w:rtl/>
        </w:rPr>
        <w:t>בעזרת יועץ המס שוקי סילקי – דו</w:t>
      </w:r>
      <w:r w:rsidR="008F19D0">
        <w:rPr>
          <w:rFonts w:ascii="David" w:eastAsia="Calibri" w:hAnsi="David" w:hint="cs"/>
          <w:rtl/>
        </w:rPr>
        <w:t>חות</w:t>
      </w:r>
      <w:r w:rsidR="00764BD4">
        <w:rPr>
          <w:rFonts w:ascii="David" w:eastAsia="Calibri" w:hAnsi="David"/>
          <w:rtl/>
        </w:rPr>
        <w:t xml:space="preserve"> שנתי</w:t>
      </w:r>
      <w:r w:rsidR="008F19D0">
        <w:rPr>
          <w:rFonts w:ascii="David" w:eastAsia="Calibri" w:hAnsi="David" w:hint="cs"/>
          <w:rtl/>
        </w:rPr>
        <w:t>ים</w:t>
      </w:r>
      <w:r w:rsidR="00764BD4">
        <w:rPr>
          <w:rFonts w:ascii="David" w:eastAsia="Calibri" w:hAnsi="David"/>
          <w:rtl/>
        </w:rPr>
        <w:t xml:space="preserve"> לפקיד השומה</w:t>
      </w:r>
      <w:r w:rsidR="008F19D0">
        <w:rPr>
          <w:rFonts w:ascii="David" w:eastAsia="Calibri" w:hAnsi="David" w:hint="cs"/>
          <w:rtl/>
        </w:rPr>
        <w:t xml:space="preserve"> אשר לא כללו את מלוא הכנסותיו</w:t>
      </w:r>
      <w:r w:rsidR="00764BD4">
        <w:rPr>
          <w:rFonts w:ascii="David" w:eastAsia="Calibri" w:hAnsi="David"/>
          <w:rtl/>
        </w:rPr>
        <w:t>.</w:t>
      </w:r>
    </w:p>
    <w:p w:rsidR="00764BD4" w:rsidRDefault="00B94B0D" w:rsidP="00764BD4">
      <w:pPr>
        <w:numPr>
          <w:ilvl w:val="0"/>
          <w:numId w:val="3"/>
        </w:numPr>
        <w:tabs>
          <w:tab w:val="num" w:pos="720"/>
        </w:tabs>
        <w:spacing w:after="120" w:line="360" w:lineRule="auto"/>
        <w:ind w:left="720"/>
        <w:jc w:val="both"/>
        <w:rPr>
          <w:rFonts w:ascii="David" w:eastAsia="Calibri" w:hAnsi="David"/>
        </w:rPr>
      </w:pPr>
      <w:r>
        <w:rPr>
          <w:rFonts w:ascii="David" w:eastAsia="Calibri" w:hAnsi="David" w:hint="cs"/>
          <w:rtl/>
        </w:rPr>
        <w:t xml:space="preserve">עובדות </w:t>
      </w:r>
      <w:r w:rsidR="00764BD4">
        <w:rPr>
          <w:rFonts w:ascii="David" w:eastAsia="Calibri" w:hAnsi="David"/>
          <w:rtl/>
        </w:rPr>
        <w:t>כתב האישום מפרט</w:t>
      </w:r>
      <w:r>
        <w:rPr>
          <w:rFonts w:ascii="David" w:eastAsia="Calibri" w:hAnsi="David" w:hint="cs"/>
          <w:rtl/>
        </w:rPr>
        <w:t>ות</w:t>
      </w:r>
      <w:r w:rsidR="00764BD4">
        <w:rPr>
          <w:rFonts w:ascii="David" w:eastAsia="Calibri" w:hAnsi="David"/>
          <w:rtl/>
        </w:rPr>
        <w:t xml:space="preserve">, במסגרת טבלה, את המחזור העסקי של הנאשם בכל אחת משמונה שנות המס הרלוואנטיות (כאמור, משנת 2008 ועד שנת 2015), את המחזור המדווח וכן את סכום ההכנסה שהושמטה. על פי הנטען בטבלה, המחזור העסקי של הנאשם בתקופה הרלוואנטית עמד על </w:t>
      </w:r>
      <w:r w:rsidR="00764BD4">
        <w:rPr>
          <w:rFonts w:ascii="David" w:eastAsia="Calibri" w:hAnsi="David"/>
          <w:b/>
          <w:bCs/>
          <w:rtl/>
        </w:rPr>
        <w:t>סך כולל של 28,175,729 ₪</w:t>
      </w:r>
      <w:r w:rsidR="00764BD4">
        <w:rPr>
          <w:rFonts w:ascii="David" w:eastAsia="Calibri" w:hAnsi="David"/>
          <w:rtl/>
        </w:rPr>
        <w:t>, ההכנסה שהושמטה היתה ב</w:t>
      </w:r>
      <w:r w:rsidR="00764BD4">
        <w:rPr>
          <w:rFonts w:ascii="David" w:eastAsia="Calibri" w:hAnsi="David"/>
          <w:b/>
          <w:bCs/>
          <w:rtl/>
        </w:rPr>
        <w:t>סך כולל של 9,386,088 ₪</w:t>
      </w:r>
      <w:r w:rsidR="00764BD4">
        <w:rPr>
          <w:rFonts w:ascii="David" w:eastAsia="Calibri" w:hAnsi="David"/>
          <w:rtl/>
        </w:rPr>
        <w:t>, והמע"מ שהושמט היה ב</w:t>
      </w:r>
      <w:r w:rsidR="00764BD4">
        <w:rPr>
          <w:rFonts w:ascii="David" w:eastAsia="Calibri" w:hAnsi="David"/>
          <w:b/>
          <w:bCs/>
          <w:rtl/>
        </w:rPr>
        <w:t>סך כולל של 1,958,369 ₪</w:t>
      </w:r>
      <w:r w:rsidR="00764BD4">
        <w:rPr>
          <w:rFonts w:ascii="David" w:eastAsia="Calibri" w:hAnsi="David"/>
          <w:rtl/>
        </w:rPr>
        <w:t>.</w:t>
      </w:r>
    </w:p>
    <w:p w:rsidR="00764BD4" w:rsidRDefault="00764BD4" w:rsidP="00C37B49">
      <w:pPr>
        <w:numPr>
          <w:ilvl w:val="0"/>
          <w:numId w:val="3"/>
        </w:numPr>
        <w:tabs>
          <w:tab w:val="num" w:pos="720"/>
        </w:tabs>
        <w:spacing w:after="120" w:line="360" w:lineRule="auto"/>
        <w:ind w:left="720"/>
        <w:jc w:val="both"/>
        <w:rPr>
          <w:rFonts w:ascii="David" w:hAnsi="David"/>
        </w:rPr>
      </w:pPr>
      <w:r>
        <w:rPr>
          <w:rFonts w:ascii="David" w:hAnsi="David"/>
          <w:rtl/>
        </w:rPr>
        <w:t xml:space="preserve">התשובה לאישום ניתנה בזמנו על ידי ב"כ הנאשם, במסגרת ההליכים המקדמיים ולפני מותב קודם, והתיק הועבר לשמיעת הראיות לפניי. גדר המחלוקת העובדתית שהוצג בתשובה לאישום היה מצומצם למדי: ההגנה אישרה כי </w:t>
      </w:r>
      <w:r w:rsidR="00B94B0D">
        <w:rPr>
          <w:rFonts w:ascii="David" w:hAnsi="David"/>
          <w:rtl/>
        </w:rPr>
        <w:t>סכום ההכנסה ש</w:t>
      </w:r>
      <w:r w:rsidR="00B94B0D">
        <w:rPr>
          <w:rFonts w:ascii="David" w:hAnsi="David" w:hint="cs"/>
          <w:rtl/>
        </w:rPr>
        <w:t xml:space="preserve">צוין </w:t>
      </w:r>
      <w:r w:rsidR="00B94B0D">
        <w:rPr>
          <w:rFonts w:ascii="David" w:hAnsi="David"/>
          <w:rtl/>
        </w:rPr>
        <w:t>בכתב האישום (</w:t>
      </w:r>
      <w:r w:rsidR="00B94B0D">
        <w:rPr>
          <w:rFonts w:ascii="David" w:hAnsi="David" w:hint="cs"/>
          <w:rtl/>
        </w:rPr>
        <w:t>ב</w:t>
      </w:r>
      <w:r>
        <w:rPr>
          <w:rFonts w:ascii="David" w:eastAsia="Calibri" w:hAnsi="David"/>
          <w:b/>
          <w:bCs/>
          <w:rtl/>
        </w:rPr>
        <w:t>סך כולל של 9,386,088 ₪</w:t>
      </w:r>
      <w:r>
        <w:rPr>
          <w:rFonts w:ascii="David" w:eastAsia="Calibri" w:hAnsi="David"/>
          <w:rtl/>
        </w:rPr>
        <w:t xml:space="preserve">) </w:t>
      </w:r>
      <w:r>
        <w:rPr>
          <w:rFonts w:ascii="David" w:hAnsi="David"/>
          <w:rtl/>
        </w:rPr>
        <w:t>אמנם לא דווח, אך הוסיפה והכחישה כי "</w:t>
      </w:r>
      <w:r>
        <w:rPr>
          <w:rFonts w:ascii="David" w:hAnsi="David"/>
          <w:b/>
          <w:bCs/>
          <w:rtl/>
        </w:rPr>
        <w:t xml:space="preserve">הנאשם הוא זה שהקטין את ההכנסות </w:t>
      </w:r>
      <w:r w:rsidRPr="00C37B49">
        <w:rPr>
          <w:rFonts w:ascii="David" w:hAnsi="David"/>
          <w:b/>
          <w:bCs/>
          <w:u w:val="single"/>
          <w:rtl/>
        </w:rPr>
        <w:t>או פעל באופן אקטיבי</w:t>
      </w:r>
      <w:r>
        <w:rPr>
          <w:rFonts w:ascii="David" w:hAnsi="David"/>
          <w:b/>
          <w:bCs/>
          <w:rtl/>
        </w:rPr>
        <w:t xml:space="preserve"> על מנת להגיע לתוצאה שמופיעה</w:t>
      </w:r>
      <w:r>
        <w:rPr>
          <w:rFonts w:ascii="David" w:hAnsi="David"/>
          <w:rtl/>
        </w:rPr>
        <w:t>"</w:t>
      </w:r>
      <w:r w:rsidR="00C37B49">
        <w:rPr>
          <w:rFonts w:ascii="David" w:hAnsi="David"/>
          <w:vertAlign w:val="superscript"/>
          <w:rtl/>
        </w:rPr>
        <w:footnoteReference w:id="1"/>
      </w:r>
      <w:r w:rsidR="00B94B0D">
        <w:rPr>
          <w:rFonts w:ascii="David" w:hAnsi="David" w:hint="cs"/>
          <w:rtl/>
        </w:rPr>
        <w:t xml:space="preserve">. </w:t>
      </w:r>
      <w:r w:rsidR="00C37B49">
        <w:rPr>
          <w:rFonts w:ascii="David" w:hAnsi="David" w:hint="cs"/>
          <w:rtl/>
        </w:rPr>
        <w:t xml:space="preserve">כל </w:t>
      </w:r>
      <w:r w:rsidR="00B94B0D">
        <w:rPr>
          <w:rFonts w:ascii="David" w:hAnsi="David" w:hint="cs"/>
          <w:rtl/>
        </w:rPr>
        <w:t>זאת</w:t>
      </w:r>
      <w:r>
        <w:rPr>
          <w:rFonts w:ascii="David" w:hAnsi="David"/>
          <w:rtl/>
        </w:rPr>
        <w:t xml:space="preserve">, תוך הכחשה נמרצת של </w:t>
      </w:r>
      <w:r w:rsidR="00B94B0D">
        <w:rPr>
          <w:rFonts w:ascii="David" w:hAnsi="David" w:hint="cs"/>
          <w:rtl/>
        </w:rPr>
        <w:t>ה</w:t>
      </w:r>
      <w:r>
        <w:rPr>
          <w:rFonts w:ascii="David" w:hAnsi="David"/>
          <w:rtl/>
        </w:rPr>
        <w:t>טענה כי הנאשם העביר למנהל החשבונות עבודי רק חלק מפנקסי החשבוניות ששימשו אותו. לפניי הוסיף הסניגור והבהיר כי "</w:t>
      </w:r>
      <w:r>
        <w:rPr>
          <w:rFonts w:ascii="David" w:hAnsi="David"/>
          <w:b/>
          <w:bCs/>
          <w:rtl/>
        </w:rPr>
        <w:t xml:space="preserve">השאלה היא </w:t>
      </w:r>
      <w:r>
        <w:rPr>
          <w:rFonts w:ascii="David" w:hAnsi="David"/>
          <w:b/>
          <w:bCs/>
          <w:u w:val="single"/>
          <w:rtl/>
        </w:rPr>
        <w:t>רק שאלת היסוד הנפשי</w:t>
      </w:r>
      <w:r>
        <w:rPr>
          <w:rFonts w:ascii="David" w:hAnsi="David"/>
          <w:b/>
          <w:bCs/>
          <w:rtl/>
        </w:rPr>
        <w:t xml:space="preserve"> שלא מתקיימת לטעמנו</w:t>
      </w:r>
      <w:r>
        <w:rPr>
          <w:rFonts w:ascii="David" w:hAnsi="David"/>
          <w:rtl/>
        </w:rPr>
        <w:t>" (לפירוט המלא ר' בהכרעת הדין, פסקה 9 ואילך).</w:t>
      </w:r>
    </w:p>
    <w:p w:rsidR="00764BD4" w:rsidRDefault="00764BD4" w:rsidP="00693175">
      <w:pPr>
        <w:numPr>
          <w:ilvl w:val="0"/>
          <w:numId w:val="3"/>
        </w:numPr>
        <w:tabs>
          <w:tab w:val="num" w:pos="720"/>
        </w:tabs>
        <w:spacing w:after="120" w:line="360" w:lineRule="auto"/>
        <w:ind w:left="720"/>
        <w:jc w:val="both"/>
        <w:rPr>
          <w:rFonts w:ascii="David" w:hAnsi="David"/>
        </w:rPr>
      </w:pPr>
      <w:r>
        <w:rPr>
          <w:rFonts w:ascii="David" w:hAnsi="David"/>
          <w:rtl/>
        </w:rPr>
        <w:t>עם זאת – ועל אף גדר המחלוקת העובדתית המצומצם לכאורה – עמדה ההגנה, כפי זכותה, על ניהול הליך שמיעת ראיות מלא. בנוסף, הן במהלך פרשת התביעה ובעיקר ב</w:t>
      </w:r>
      <w:r w:rsidR="00B94B0D">
        <w:rPr>
          <w:rFonts w:ascii="David" w:hAnsi="David" w:hint="cs"/>
          <w:rtl/>
        </w:rPr>
        <w:t xml:space="preserve">מהלך </w:t>
      </w:r>
      <w:r>
        <w:rPr>
          <w:rFonts w:ascii="David" w:hAnsi="David"/>
          <w:rtl/>
        </w:rPr>
        <w:t xml:space="preserve">פרשת ההגנה הרחיב ב"כ הנאשם את יריעת המחלוקת עם המאשימה במספר </w:t>
      </w:r>
      <w:r w:rsidR="00693175">
        <w:rPr>
          <w:rFonts w:ascii="David" w:hAnsi="David" w:hint="cs"/>
          <w:rtl/>
        </w:rPr>
        <w:t xml:space="preserve">נושאים </w:t>
      </w:r>
      <w:r>
        <w:rPr>
          <w:rFonts w:ascii="David" w:hAnsi="David"/>
          <w:rtl/>
        </w:rPr>
        <w:t>נוספים. כך, בעת חקירת יועץ המס סילקי העלה ב"כ הנאשם טענות בעניין אותנטיות חתימות הנאשם על דוחותיו השנתיים, ובפרשת ההגנה אף הובאה חוות דעת גרפולוגית בהקשר זה. בנוסף, במסגרת פרשת ההגנה הועלו טענות והובאו חוות דעת מומחים הן לעניין סוגיית חובות ניהול הספרים בעסקו של הנאשם והן לעניין כשירותו הנפשית של הנאשם.</w:t>
      </w:r>
    </w:p>
    <w:p w:rsidR="00764BD4" w:rsidRDefault="00764BD4" w:rsidP="00764BD4">
      <w:pPr>
        <w:numPr>
          <w:ilvl w:val="0"/>
          <w:numId w:val="3"/>
        </w:numPr>
        <w:tabs>
          <w:tab w:val="num" w:pos="720"/>
        </w:tabs>
        <w:spacing w:after="120" w:line="360" w:lineRule="auto"/>
        <w:ind w:left="720"/>
        <w:jc w:val="both"/>
        <w:rPr>
          <w:rFonts w:ascii="David" w:hAnsi="David"/>
        </w:rPr>
      </w:pPr>
      <w:r>
        <w:rPr>
          <w:rFonts w:ascii="David" w:hAnsi="David"/>
          <w:rtl/>
        </w:rPr>
        <w:t xml:space="preserve">לא למותר לציין כאן, כי הדיון בסוגיית כשירותו הנפשית של הנאשם, שהועלתה רק לאחר תום פרשת התביעה, הביא להתמשכות ניכרת של ההליכים. בנסיבות אלה, ובהתחשב בהיקף הניכר של טיעוני הצדדים, גם הכרעת הדין </w:t>
      </w:r>
      <w:r w:rsidR="000817B6">
        <w:rPr>
          <w:rFonts w:ascii="David" w:hAnsi="David" w:hint="cs"/>
          <w:rtl/>
        </w:rPr>
        <w:t xml:space="preserve">שניתנה </w:t>
      </w:r>
      <w:r>
        <w:rPr>
          <w:rFonts w:ascii="David" w:hAnsi="David"/>
          <w:rtl/>
        </w:rPr>
        <w:t>היא רחבת היקף. פשיטא</w:t>
      </w:r>
      <w:r w:rsidR="000817B6">
        <w:rPr>
          <w:rFonts w:ascii="David" w:hAnsi="David" w:hint="cs"/>
          <w:rtl/>
        </w:rPr>
        <w:t>,</w:t>
      </w:r>
      <w:r>
        <w:rPr>
          <w:rFonts w:ascii="David" w:hAnsi="David"/>
          <w:rtl/>
        </w:rPr>
        <w:t xml:space="preserve"> כי לא כאן המקום לחזור על קביעותיה והנמקותיה של הכרעת הדין, והמעיין יעיין שם. כאן, ולצרכי גזר הדין, יצוינו בתמצית בלבד הקביעות הרלוואנטיות.</w:t>
      </w:r>
    </w:p>
    <w:p w:rsidR="000817B6" w:rsidRDefault="00764BD4" w:rsidP="00693175">
      <w:pPr>
        <w:numPr>
          <w:ilvl w:val="0"/>
          <w:numId w:val="3"/>
        </w:numPr>
        <w:tabs>
          <w:tab w:val="num" w:pos="720"/>
        </w:tabs>
        <w:spacing w:after="120" w:line="360" w:lineRule="auto"/>
        <w:ind w:left="720"/>
        <w:jc w:val="both"/>
        <w:rPr>
          <w:rFonts w:ascii="David" w:hAnsi="David"/>
        </w:rPr>
      </w:pPr>
      <w:r>
        <w:rPr>
          <w:rFonts w:ascii="David" w:hAnsi="David"/>
          <w:rtl/>
        </w:rPr>
        <w:t xml:space="preserve">במישור הכשירות הנפשית הועדפו בהכרעת הדין עדויות העדים מטעם הפסיכיאטר המחוזי ונדחו טענות הנאשם להיעדר כשירות – הן ברובד המהותי והן ברובד הדיוני. בין השאר נדחתה טענת הפסיכיאטר מטעם ההגנה שלפיה לקה הנאשם בפגיעה תפקודית חמורה, </w:t>
      </w:r>
      <w:r>
        <w:rPr>
          <w:rFonts w:ascii="David" w:hAnsi="David"/>
          <w:rtl/>
        </w:rPr>
        <w:lastRenderedPageBreak/>
        <w:t>ונקבע כי הלכה למעשה ההיפך הוא הנכון. בכל השנים הרלוואנטיות לכתב האישום ואף לפני כן נהג הנאשם כגברא רבא: ניהל ביד רמה עסק מצליח שגלגל מיליוני ₪, פשוטו כמשמעו, העסיק עד 9 עובדים, שאותם הנחה בעבודתם ושלהם שילם משכורות לפי ראות עיניו, התייעץ ושכר שירותי אנשי מקצוע, קיבל או הפקיד את תקבולי העסק לחשבונות בנק שהיו בשליטתו הבלעדית, ואף הגיש תכנית רדיו על בסיס יומיומי (ר</w:t>
      </w:r>
      <w:r w:rsidR="000817B6">
        <w:rPr>
          <w:rFonts w:ascii="David" w:hAnsi="David"/>
          <w:rtl/>
        </w:rPr>
        <w:t>' בפסקה 198 ואילך להכרעת הדין).</w:t>
      </w:r>
    </w:p>
    <w:p w:rsidR="00764BD4" w:rsidRDefault="00764BD4" w:rsidP="000817B6">
      <w:pPr>
        <w:numPr>
          <w:ilvl w:val="0"/>
          <w:numId w:val="3"/>
        </w:numPr>
        <w:tabs>
          <w:tab w:val="num" w:pos="720"/>
        </w:tabs>
        <w:spacing w:after="120" w:line="360" w:lineRule="auto"/>
        <w:ind w:left="720"/>
        <w:jc w:val="both"/>
        <w:rPr>
          <w:rFonts w:ascii="David" w:hAnsi="David"/>
        </w:rPr>
      </w:pPr>
      <w:r>
        <w:rPr>
          <w:rFonts w:ascii="David" w:hAnsi="David"/>
          <w:rtl/>
        </w:rPr>
        <w:t xml:space="preserve">בהקשר זה לא למותר להעיר כי הגם שהנאשם בחר להימנע מלהעיד בשלב שמיעת הראיות, בטיעונים לעונש </w:t>
      </w:r>
      <w:r w:rsidR="000817B6">
        <w:rPr>
          <w:rFonts w:ascii="David" w:hAnsi="David" w:hint="cs"/>
          <w:rtl/>
        </w:rPr>
        <w:t xml:space="preserve">הוא </w:t>
      </w:r>
      <w:r>
        <w:rPr>
          <w:rFonts w:ascii="David" w:hAnsi="David"/>
          <w:rtl/>
        </w:rPr>
        <w:t xml:space="preserve">בחר לשאת </w:t>
      </w:r>
      <w:r w:rsidR="000817B6">
        <w:rPr>
          <w:rFonts w:ascii="David" w:hAnsi="David" w:hint="cs"/>
          <w:rtl/>
        </w:rPr>
        <w:t xml:space="preserve">לפניי </w:t>
      </w:r>
      <w:r>
        <w:rPr>
          <w:rFonts w:ascii="David" w:hAnsi="David"/>
          <w:rtl/>
        </w:rPr>
        <w:t>דברים</w:t>
      </w:r>
      <w:r w:rsidR="00693175">
        <w:rPr>
          <w:rFonts w:ascii="David" w:hAnsi="David" w:hint="cs"/>
          <w:rtl/>
        </w:rPr>
        <w:t>, ונשא דברים</w:t>
      </w:r>
      <w:r>
        <w:rPr>
          <w:rFonts w:ascii="David" w:hAnsi="David"/>
          <w:rtl/>
        </w:rPr>
        <w:t xml:space="preserve"> ממושכים (</w:t>
      </w:r>
      <w:r w:rsidR="000817B6">
        <w:rPr>
          <w:rFonts w:ascii="David" w:hAnsi="David" w:hint="cs"/>
          <w:rtl/>
        </w:rPr>
        <w:t xml:space="preserve">ר' </w:t>
      </w:r>
      <w:r>
        <w:rPr>
          <w:rFonts w:ascii="David" w:hAnsi="David"/>
          <w:rtl/>
        </w:rPr>
        <w:t>בפרוטוקול, עמ' 469-465)</w:t>
      </w:r>
      <w:r w:rsidR="000817B6">
        <w:rPr>
          <w:rFonts w:ascii="David" w:hAnsi="David" w:hint="cs"/>
          <w:rtl/>
        </w:rPr>
        <w:t xml:space="preserve">. </w:t>
      </w:r>
      <w:r>
        <w:rPr>
          <w:rFonts w:ascii="David" w:hAnsi="David"/>
          <w:rtl/>
        </w:rPr>
        <w:t xml:space="preserve">במסגרת זו דיבר הנאשם באופן קוהרנטי וסדור, בין השאר תוך תיאור </w:t>
      </w:r>
      <w:r w:rsidR="000817B6">
        <w:rPr>
          <w:rFonts w:ascii="David" w:hAnsi="David" w:hint="cs"/>
          <w:rtl/>
        </w:rPr>
        <w:t xml:space="preserve">מפורט של </w:t>
      </w:r>
      <w:r w:rsidR="00693175">
        <w:rPr>
          <w:rFonts w:ascii="David" w:hAnsi="David" w:hint="cs"/>
          <w:rtl/>
        </w:rPr>
        <w:t>ה</w:t>
      </w:r>
      <w:r>
        <w:rPr>
          <w:rFonts w:ascii="David" w:hAnsi="David"/>
          <w:rtl/>
        </w:rPr>
        <w:t>קשיים עמם הוא מתמודד ב</w:t>
      </w:r>
      <w:r w:rsidR="00693175">
        <w:rPr>
          <w:rFonts w:ascii="David" w:hAnsi="David"/>
          <w:rtl/>
        </w:rPr>
        <w:t>מישורי חייו השונים. עוד יש ל</w:t>
      </w:r>
      <w:r w:rsidR="00693175">
        <w:rPr>
          <w:rFonts w:ascii="David" w:hAnsi="David" w:hint="cs"/>
          <w:rtl/>
        </w:rPr>
        <w:t>העיר</w:t>
      </w:r>
      <w:r>
        <w:rPr>
          <w:rFonts w:ascii="David" w:hAnsi="David"/>
          <w:rtl/>
        </w:rPr>
        <w:t>, כי הגם שנמצאו אינדיקציות משמעותיות לחשד של התחזות מצד הנאשם, בהכרעת הדין הובהר כי חשד זה אינו טעון בחינה והכרעה במסגרתה.</w:t>
      </w:r>
    </w:p>
    <w:p w:rsidR="00764BD4" w:rsidRDefault="00764BD4" w:rsidP="000817B6">
      <w:pPr>
        <w:numPr>
          <w:ilvl w:val="0"/>
          <w:numId w:val="3"/>
        </w:numPr>
        <w:tabs>
          <w:tab w:val="num" w:pos="720"/>
        </w:tabs>
        <w:spacing w:after="120" w:line="360" w:lineRule="auto"/>
        <w:ind w:left="720"/>
        <w:jc w:val="both"/>
        <w:rPr>
          <w:rFonts w:ascii="David" w:hAnsi="David"/>
          <w:rtl/>
        </w:rPr>
      </w:pPr>
      <w:r>
        <w:rPr>
          <w:rFonts w:ascii="David" w:hAnsi="David"/>
          <w:rtl/>
        </w:rPr>
        <w:t xml:space="preserve">במישור המהותי נדחו בהכרעת הדין ניסיונותיו </w:t>
      </w:r>
      <w:r w:rsidR="000817B6">
        <w:rPr>
          <w:rFonts w:ascii="David" w:hAnsi="David" w:hint="cs"/>
          <w:rtl/>
        </w:rPr>
        <w:t xml:space="preserve">השונים </w:t>
      </w:r>
      <w:r>
        <w:rPr>
          <w:rFonts w:ascii="David" w:hAnsi="David"/>
          <w:rtl/>
        </w:rPr>
        <w:t>של הנאשם לגלגל לפתחם של אחרים את האחריות להשמטות בדיווחים על הכנסותיו. יוזכר</w:t>
      </w:r>
      <w:r w:rsidR="000817B6">
        <w:rPr>
          <w:rFonts w:ascii="David" w:hAnsi="David" w:hint="cs"/>
          <w:rtl/>
        </w:rPr>
        <w:t>,</w:t>
      </w:r>
      <w:r>
        <w:rPr>
          <w:rFonts w:ascii="David" w:hAnsi="David"/>
          <w:rtl/>
        </w:rPr>
        <w:t xml:space="preserve"> בהקשר זה</w:t>
      </w:r>
      <w:r w:rsidR="000817B6">
        <w:rPr>
          <w:rFonts w:ascii="David" w:hAnsi="David" w:hint="cs"/>
          <w:rtl/>
        </w:rPr>
        <w:t>,</w:t>
      </w:r>
      <w:r>
        <w:rPr>
          <w:rFonts w:ascii="David" w:hAnsi="David"/>
          <w:rtl/>
        </w:rPr>
        <w:t xml:space="preserve"> כי הנאשם ניסה לגלגל את האחריות להשמטות אלה, בשלבים שונים של החקירה והמשפט, לפתחם של כמה וכמה גורמים שונים: (א) אחיו מוטי; (ב) מנהל החשבונות עבודי; (ג) השליחים שהעבירו את חומרי הנהלת החשבונות מעסקו של הנאשם למשרדו של עבודי; ו-(ד) יועץ המס סילקי (ר' בפסקה 218 ואילך להכרעת הדין).</w:t>
      </w:r>
    </w:p>
    <w:p w:rsidR="00764BD4" w:rsidRDefault="00764BD4" w:rsidP="008F146D">
      <w:pPr>
        <w:numPr>
          <w:ilvl w:val="0"/>
          <w:numId w:val="3"/>
        </w:numPr>
        <w:tabs>
          <w:tab w:val="num" w:pos="720"/>
        </w:tabs>
        <w:spacing w:after="120" w:line="360" w:lineRule="auto"/>
        <w:ind w:left="720"/>
        <w:jc w:val="both"/>
        <w:rPr>
          <w:rFonts w:ascii="David" w:hAnsi="David"/>
        </w:rPr>
      </w:pPr>
      <w:r>
        <w:rPr>
          <w:rFonts w:ascii="David" w:hAnsi="David"/>
          <w:rtl/>
        </w:rPr>
        <w:t xml:space="preserve">אשר לרובד היסוד הנפשי הוטעם בהכרעת הדין כי מדובר בהשמטת </w:t>
      </w:r>
      <w:r w:rsidR="000817B6">
        <w:rPr>
          <w:rFonts w:ascii="David" w:hAnsi="David" w:hint="cs"/>
          <w:rtl/>
        </w:rPr>
        <w:t>הכנסות</w:t>
      </w:r>
      <w:r>
        <w:rPr>
          <w:rFonts w:ascii="David" w:hAnsi="David"/>
          <w:rtl/>
        </w:rPr>
        <w:t xml:space="preserve"> שבוצעה על פני תקופה רצופה, באופן עקבי, חוזר ומתמשך – שנה אחר שנה, במשך שמונה שנות מס – ובאותה השיטה בדיוק. בנוסף, מדובר בהשמטה משמעותית הן מבחינת סכומי ההשמטה (למעלה מתשעה מיליון ₪ במצטבר) והן מבחינת שיעור ההשמטה ביחס לכלל הכנסותיו של הנאשם (כמעט שליש). בנסיבות אלה, מתוך המעשים עצמם נלמדת כוונת מרמה מובהקת, שהרי אדם המשמיט הכנסות בהיקף כזה ובנסיבות שכאלה מתכוון ורוצה לשלול מהקופה הציבורית את המס אותו הוא חייב לפי דין לשלם לקופה הציבורית (שם, בפסקה 243). לפיכך, ובהתחשב במכלול הנסיבות שצוינו</w:t>
      </w:r>
      <w:r w:rsidR="008F146D">
        <w:rPr>
          <w:rFonts w:ascii="David" w:hAnsi="David" w:hint="cs"/>
          <w:rtl/>
        </w:rPr>
        <w:t xml:space="preserve"> בהכרעת הדין</w:t>
      </w:r>
      <w:r>
        <w:rPr>
          <w:rFonts w:ascii="David" w:hAnsi="David"/>
          <w:rtl/>
        </w:rPr>
        <w:t>, נקבע כי גם היסוד הנפשי הנד</w:t>
      </w:r>
      <w:r w:rsidR="00236D5F">
        <w:rPr>
          <w:rFonts w:ascii="David" w:hAnsi="David"/>
          <w:rtl/>
        </w:rPr>
        <w:t>רש בעבירות בהן הואשם הנאשם הוכח</w:t>
      </w:r>
      <w:r>
        <w:rPr>
          <w:rFonts w:ascii="David" w:hAnsi="David"/>
          <w:rtl/>
        </w:rPr>
        <w:t xml:space="preserve"> כדבעי.</w:t>
      </w:r>
    </w:p>
    <w:p w:rsidR="00764BD4" w:rsidRDefault="00764BD4" w:rsidP="008F146D">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לעניין העבירה לפי הוראות חוק מע"מ, שגם בה הואשם הנאשם כאמור, נקבע כי נפלה תקלה משמעותית בחקיר</w:t>
      </w:r>
      <w:r w:rsidR="008F146D">
        <w:rPr>
          <w:rFonts w:ascii="David" w:eastAsia="Calibri" w:hAnsi="David"/>
          <w:rtl/>
        </w:rPr>
        <w:t>ות הנאשם בכך שהוא לא הוזהר בגי</w:t>
      </w:r>
      <w:r w:rsidR="008F146D">
        <w:rPr>
          <w:rFonts w:ascii="David" w:eastAsia="Calibri" w:hAnsi="David" w:hint="cs"/>
          <w:rtl/>
        </w:rPr>
        <w:t>ן ביצוע עבירה זו</w:t>
      </w:r>
      <w:r>
        <w:rPr>
          <w:rFonts w:ascii="David" w:eastAsia="Calibri" w:hAnsi="David"/>
          <w:rtl/>
        </w:rPr>
        <w:t>; תקל</w:t>
      </w:r>
      <w:r w:rsidR="00286A1F">
        <w:rPr>
          <w:rFonts w:ascii="David" w:eastAsia="Calibri" w:hAnsi="David"/>
          <w:rtl/>
        </w:rPr>
        <w:t xml:space="preserve">ה שמקורה ככל הנראה בכשל </w:t>
      </w:r>
      <w:r w:rsidR="00286A1F">
        <w:rPr>
          <w:rFonts w:ascii="David" w:eastAsia="Calibri" w:hAnsi="David" w:hint="cs"/>
          <w:rtl/>
        </w:rPr>
        <w:t>מבני-</w:t>
      </w:r>
      <w:r w:rsidR="00286A1F">
        <w:rPr>
          <w:rFonts w:ascii="David" w:eastAsia="Calibri" w:hAnsi="David"/>
          <w:rtl/>
        </w:rPr>
        <w:t>בירוקרט</w:t>
      </w:r>
      <w:r w:rsidR="00286A1F">
        <w:rPr>
          <w:rFonts w:ascii="David" w:eastAsia="Calibri" w:hAnsi="David" w:hint="cs"/>
          <w:rtl/>
        </w:rPr>
        <w:t>י</w:t>
      </w:r>
      <w:r>
        <w:rPr>
          <w:rFonts w:ascii="David" w:eastAsia="Calibri" w:hAnsi="David"/>
          <w:rtl/>
        </w:rPr>
        <w:t xml:space="preserve"> ברשות המיסים </w:t>
      </w:r>
      <w:r>
        <w:rPr>
          <w:rFonts w:ascii="David" w:hAnsi="David"/>
          <w:rtl/>
        </w:rPr>
        <w:t xml:space="preserve">(ר' בפסקה 254 ואילך להכרעת הדין). </w:t>
      </w:r>
      <w:r>
        <w:rPr>
          <w:rFonts w:ascii="David" w:eastAsia="Calibri" w:hAnsi="David"/>
          <w:rtl/>
        </w:rPr>
        <w:t xml:space="preserve">עם זאת נקבע, כי בנסיבות הקונקרטיות והספציפיות של הפרשה דנא לא ניתן לומר שנגרמה פגיעה מהותית בזכויות הנאשם, ואף לא ניתן לטעון כי בהינתן אזהרה נוספת לגבי עבירות מע"מ קו הטיעון של הנאשם בחקירותיו היה שונה או כי הוא היה מוסיף וטוען טענות שלא העלה. לפיכך, וכאשר מדובר בהשמטת מע"מ בסכום משמעותי, של </w:t>
      </w:r>
      <w:r w:rsidR="008F146D">
        <w:rPr>
          <w:rFonts w:ascii="David" w:eastAsia="Calibri" w:hAnsi="David" w:hint="cs"/>
          <w:rtl/>
        </w:rPr>
        <w:t>שני</w:t>
      </w:r>
      <w:r>
        <w:rPr>
          <w:rFonts w:ascii="David" w:eastAsia="Calibri" w:hAnsi="David"/>
          <w:rtl/>
        </w:rPr>
        <w:t xml:space="preserve"> מיליון ₪</w:t>
      </w:r>
      <w:r w:rsidR="008F146D">
        <w:rPr>
          <w:rFonts w:ascii="David" w:eastAsia="Calibri" w:hAnsi="David" w:hint="cs"/>
          <w:rtl/>
        </w:rPr>
        <w:t xml:space="preserve"> בקירוב</w:t>
      </w:r>
      <w:r>
        <w:rPr>
          <w:rFonts w:ascii="David" w:eastAsia="Calibri" w:hAnsi="David"/>
          <w:rtl/>
        </w:rPr>
        <w:t>, נקבע כי באיזון האינטרסים הכולל ידו של האינטרס הציבורי במיצוי הדין בעבירות מיסים היא על העליונה ו</w:t>
      </w:r>
      <w:r w:rsidR="008F146D">
        <w:rPr>
          <w:rFonts w:ascii="David" w:eastAsia="Calibri" w:hAnsi="David" w:hint="cs"/>
          <w:rtl/>
        </w:rPr>
        <w:t xml:space="preserve">על כן </w:t>
      </w:r>
      <w:r>
        <w:rPr>
          <w:rFonts w:ascii="David" w:eastAsia="Calibri" w:hAnsi="David"/>
          <w:rtl/>
        </w:rPr>
        <w:t>דינו של הנאשם הוא להרשעה גם בעבירת המע"מ בה הואשם.</w:t>
      </w:r>
    </w:p>
    <w:p w:rsidR="00764BD4" w:rsidRDefault="00764BD4" w:rsidP="00764BD4">
      <w:pPr>
        <w:spacing w:after="120" w:line="360" w:lineRule="auto"/>
        <w:jc w:val="both"/>
        <w:rPr>
          <w:rFonts w:ascii="David" w:eastAsia="Calibri" w:hAnsi="David"/>
        </w:rPr>
      </w:pPr>
    </w:p>
    <w:p w:rsidR="00764BD4" w:rsidRDefault="00764BD4" w:rsidP="00764BD4">
      <w:pPr>
        <w:spacing w:after="120" w:line="360" w:lineRule="auto"/>
        <w:jc w:val="both"/>
        <w:rPr>
          <w:rFonts w:ascii="David" w:hAnsi="David"/>
          <w:b/>
          <w:bCs/>
          <w:u w:val="single"/>
          <w:rtl/>
        </w:rPr>
      </w:pPr>
      <w:r>
        <w:rPr>
          <w:rFonts w:ascii="David" w:hAnsi="David"/>
          <w:b/>
          <w:bCs/>
          <w:rtl/>
        </w:rPr>
        <w:t>ב.</w:t>
      </w:r>
      <w:r>
        <w:rPr>
          <w:rFonts w:ascii="David" w:hAnsi="David"/>
          <w:b/>
          <w:bCs/>
          <w:rtl/>
        </w:rPr>
        <w:tab/>
      </w:r>
      <w:r>
        <w:rPr>
          <w:rFonts w:ascii="David" w:eastAsia="Calibri" w:hAnsi="David"/>
          <w:b/>
          <w:bCs/>
          <w:u w:val="single"/>
          <w:rtl/>
        </w:rPr>
        <w:t>עיקר הראיות לקביעת העונש:</w:t>
      </w:r>
    </w:p>
    <w:p w:rsidR="00764BD4" w:rsidRDefault="00764BD4" w:rsidP="00C37B49">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שני הצדדים הגישו, כראיות לקביעת העונש, מסמכים שונ</w:t>
      </w:r>
      <w:r w:rsidR="00286A1F">
        <w:rPr>
          <w:rFonts w:ascii="David" w:eastAsia="Calibri" w:hAnsi="David"/>
          <w:rtl/>
        </w:rPr>
        <w:t xml:space="preserve">ים, כאשר מטעם ההגנה גם העידו </w:t>
      </w:r>
      <w:r w:rsidR="00286A1F">
        <w:rPr>
          <w:rFonts w:ascii="David" w:eastAsia="Calibri" w:hAnsi="David" w:hint="cs"/>
          <w:rtl/>
        </w:rPr>
        <w:t xml:space="preserve">אחד עשר </w:t>
      </w:r>
      <w:r>
        <w:rPr>
          <w:rFonts w:ascii="David" w:eastAsia="Calibri" w:hAnsi="David"/>
          <w:rtl/>
        </w:rPr>
        <w:t>עדי אופי. בהמשך הדרך גם הובאו לפני בית המשפט נתונים קונקרטיים ב</w:t>
      </w:r>
      <w:r w:rsidR="00C37B49">
        <w:rPr>
          <w:rFonts w:ascii="David" w:eastAsia="Calibri" w:hAnsi="David" w:hint="cs"/>
          <w:rtl/>
        </w:rPr>
        <w:t xml:space="preserve">עניין </w:t>
      </w:r>
      <w:r>
        <w:rPr>
          <w:rFonts w:ascii="David" w:eastAsia="Calibri" w:hAnsi="David"/>
          <w:rtl/>
        </w:rPr>
        <w:t>הליכי הפש"ר, שעדיין מתנהלים בעניינו של הנאשם, וכן ב</w:t>
      </w:r>
      <w:r w:rsidR="00C37B49">
        <w:rPr>
          <w:rFonts w:ascii="David" w:eastAsia="Calibri" w:hAnsi="David" w:hint="cs"/>
          <w:rtl/>
        </w:rPr>
        <w:t xml:space="preserve">נוגע </w:t>
      </w:r>
      <w:r>
        <w:rPr>
          <w:rFonts w:ascii="David" w:eastAsia="Calibri" w:hAnsi="David"/>
          <w:rtl/>
        </w:rPr>
        <w:t xml:space="preserve">להיקף חובותיו של הנאשם לרשות המיסים </w:t>
      </w:r>
      <w:r w:rsidR="00C37B49">
        <w:rPr>
          <w:rFonts w:ascii="David" w:eastAsia="Calibri" w:hAnsi="David" w:hint="cs"/>
          <w:rtl/>
        </w:rPr>
        <w:t xml:space="preserve">כיום </w:t>
      </w:r>
      <w:r>
        <w:rPr>
          <w:rFonts w:ascii="David" w:eastAsia="Calibri" w:hAnsi="David"/>
          <w:rtl/>
        </w:rPr>
        <w:t>(ר' בבקשות מס' 69 ומס' 73 וכן תיק פש"ר (מחוזי ת"א) 14373-07-18).</w:t>
      </w:r>
    </w:p>
    <w:p w:rsidR="00764BD4" w:rsidRDefault="00286A1F" w:rsidP="008504AD">
      <w:pPr>
        <w:numPr>
          <w:ilvl w:val="0"/>
          <w:numId w:val="3"/>
        </w:numPr>
        <w:tabs>
          <w:tab w:val="num" w:pos="720"/>
        </w:tabs>
        <w:spacing w:after="120" w:line="360" w:lineRule="auto"/>
        <w:ind w:left="720"/>
        <w:jc w:val="both"/>
        <w:rPr>
          <w:rFonts w:ascii="David" w:eastAsia="Calibri" w:hAnsi="David"/>
        </w:rPr>
      </w:pPr>
      <w:r>
        <w:rPr>
          <w:rFonts w:ascii="David" w:eastAsia="Calibri" w:hAnsi="David" w:hint="cs"/>
          <w:rtl/>
        </w:rPr>
        <w:t xml:space="preserve">כמסתבר, </w:t>
      </w:r>
      <w:r w:rsidR="00764BD4">
        <w:rPr>
          <w:rFonts w:ascii="David" w:eastAsia="Calibri" w:hAnsi="David"/>
          <w:rtl/>
        </w:rPr>
        <w:t xml:space="preserve">בהליכי הפש"ר ניתן צו כינוס בעניינו של הנאשם </w:t>
      </w:r>
      <w:r>
        <w:rPr>
          <w:rFonts w:ascii="David" w:eastAsia="Calibri" w:hAnsi="David" w:hint="cs"/>
          <w:rtl/>
        </w:rPr>
        <w:t xml:space="preserve">עוד </w:t>
      </w:r>
      <w:r w:rsidR="00764BD4">
        <w:rPr>
          <w:rFonts w:ascii="David" w:eastAsia="Calibri" w:hAnsi="David"/>
          <w:rtl/>
        </w:rPr>
        <w:t>ביום 26.07.2018, ועו"ד אלדד שגב מונה כמנהל מיוחד לנכסי החייב (הנאשם). יובהר, כי בעקבות בקשת הסניגור הורה בית המשפט למנהל המיוחד להעביר לסניגור אינפורמציה רלוואנטית, אשר בסופו של דבר הוגשה במסגרת מכתב (ר' בבקשה מס' 69). כעולה מהמכתב, המנהל המיוחד פעל ו</w:t>
      </w:r>
      <w:r w:rsidR="008504AD">
        <w:rPr>
          <w:rFonts w:ascii="David" w:eastAsia="Calibri" w:hAnsi="David" w:hint="cs"/>
          <w:rtl/>
        </w:rPr>
        <w:t xml:space="preserve">עדיין </w:t>
      </w:r>
      <w:r w:rsidR="00764BD4">
        <w:rPr>
          <w:rFonts w:ascii="David" w:eastAsia="Calibri" w:hAnsi="David"/>
          <w:rtl/>
        </w:rPr>
        <w:t xml:space="preserve">פועל למימוש שני נכסי מקרקעין בהם יש לנאשם זכויות, כאשר </w:t>
      </w:r>
      <w:r w:rsidR="008504AD">
        <w:rPr>
          <w:rFonts w:ascii="David" w:eastAsia="Calibri" w:hAnsi="David" w:hint="cs"/>
          <w:rtl/>
        </w:rPr>
        <w:t xml:space="preserve">להערכת המנהל </w:t>
      </w:r>
      <w:r w:rsidR="00764BD4">
        <w:rPr>
          <w:rFonts w:ascii="David" w:eastAsia="Calibri" w:hAnsi="David"/>
          <w:rtl/>
        </w:rPr>
        <w:t xml:space="preserve">הכספים שיתקבלו מהמימוש יוכלו לכסות את חובות הנאשם שבדין קדימה, לרבות חוב בסך של </w:t>
      </w:r>
      <w:r w:rsidR="00764BD4">
        <w:rPr>
          <w:rFonts w:ascii="David" w:eastAsia="Calibri" w:hAnsi="David"/>
          <w:b/>
          <w:bCs/>
          <w:rtl/>
        </w:rPr>
        <w:t>1,097,390 ₪</w:t>
      </w:r>
      <w:r w:rsidR="00764BD4">
        <w:rPr>
          <w:rFonts w:ascii="David" w:eastAsia="Calibri" w:hAnsi="David"/>
          <w:rtl/>
        </w:rPr>
        <w:t xml:space="preserve"> למס הכנסה וחוב בסך של </w:t>
      </w:r>
      <w:r w:rsidR="00764BD4">
        <w:rPr>
          <w:rFonts w:ascii="David" w:eastAsia="Calibri" w:hAnsi="David"/>
          <w:b/>
          <w:bCs/>
          <w:rtl/>
        </w:rPr>
        <w:t>109,589 ₪</w:t>
      </w:r>
      <w:r w:rsidR="00764BD4">
        <w:rPr>
          <w:rFonts w:ascii="David" w:eastAsia="Calibri" w:hAnsi="David"/>
          <w:rtl/>
        </w:rPr>
        <w:t xml:space="preserve"> למע"מ.</w:t>
      </w:r>
    </w:p>
    <w:p w:rsidR="00764BD4" w:rsidRDefault="00764BD4" w:rsidP="00764BD4">
      <w:pPr>
        <w:numPr>
          <w:ilvl w:val="0"/>
          <w:numId w:val="3"/>
        </w:numPr>
        <w:tabs>
          <w:tab w:val="num" w:pos="720"/>
        </w:tabs>
        <w:spacing w:after="120" w:line="360" w:lineRule="auto"/>
        <w:ind w:left="720"/>
        <w:jc w:val="both"/>
        <w:rPr>
          <w:rFonts w:ascii="David" w:eastAsia="Calibri" w:hAnsi="David"/>
          <w:rtl/>
        </w:rPr>
      </w:pPr>
      <w:r>
        <w:rPr>
          <w:rFonts w:ascii="David" w:eastAsia="Calibri" w:hAnsi="David"/>
          <w:rtl/>
        </w:rPr>
        <w:t xml:space="preserve">מטעם המאשימה הוגשו מסמכים ממערכת שע"מ (ע/1) ומס ערך מוסף (ע/2), שעניינם שיעור החוב של הנאשם לרשות המיסים, וכן תביעת החוב של מס הכנסה (ע/3), שהוגשה לאחר שניתן בהליכי הפש"ר צו כינוס (ביום 26.07.2018; ע/4). כפי שציינה ב"כ המאשימה (ר' בבקשה מס' 73), שיעור החוב של הנאשם לרשות המיסים עומד כיום על </w:t>
      </w:r>
      <w:r>
        <w:rPr>
          <w:rFonts w:ascii="David" w:eastAsia="Calibri" w:hAnsi="David"/>
          <w:b/>
          <w:bCs/>
          <w:rtl/>
        </w:rPr>
        <w:t>סך כולל של 3,289,391 ₪</w:t>
      </w:r>
      <w:r>
        <w:rPr>
          <w:rFonts w:ascii="David" w:eastAsia="Calibri" w:hAnsi="David"/>
          <w:rtl/>
        </w:rPr>
        <w:t>, וזאת עוד בטרם הוצאה שומה על מלוא התקופה. לכן – ובתגובה לטענת הסניגור כי נוכח דברי המנהל המיוחד יש לראות את הנאשם כמי שהסיר את מחדלו במלואו – הטעימה ב"כ המאשימה כי הסכום בדין קדימה (שטרם התקבל) מהווה אך כשליש מחובו של הנאשם, שגם הוא חלקי, לרשויות המס (יש להעיר כי ניתנה להגנה האפשרות להגיב לטענה זו, כאמור בהחלטה מיום 03.05.2023, אך תגובה לא הוגשה).</w:t>
      </w:r>
    </w:p>
    <w:p w:rsidR="00764BD4" w:rsidRDefault="00764BD4" w:rsidP="005F73DF">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 xml:space="preserve">ב"כ הנאשם הגיש, בנוסף, קלסר מוצגים (סומן ס/1), הכולל מסמכים רבים – שחלקם הוגשו עוד במסגרת שמיעת הראיות בטרם הכרעת הדין – בעניין מצבו הבריאותי והנפשי של הנאשם. כעולה ממסמכים אלה, הגם שהנאשם אינו </w:t>
      </w:r>
      <w:r w:rsidR="00F71828">
        <w:rPr>
          <w:rFonts w:ascii="David" w:eastAsia="Calibri" w:hAnsi="David" w:hint="cs"/>
          <w:rtl/>
        </w:rPr>
        <w:t xml:space="preserve">אדם </w:t>
      </w:r>
      <w:r>
        <w:rPr>
          <w:rFonts w:ascii="David" w:eastAsia="Calibri" w:hAnsi="David"/>
          <w:rtl/>
        </w:rPr>
        <w:t xml:space="preserve">מבוגר במיוחד (יליד שנת </w:t>
      </w:r>
      <w:r w:rsidR="00F416D9">
        <w:rPr>
          <w:rFonts w:ascii="David" w:eastAsia="Calibri" w:hAnsi="David"/>
          <w:rtl/>
        </w:rPr>
        <w:t xml:space="preserve">1968), הוא סובל </w:t>
      </w:r>
      <w:r>
        <w:rPr>
          <w:rFonts w:ascii="David" w:eastAsia="Calibri" w:hAnsi="David"/>
          <w:rtl/>
        </w:rPr>
        <w:t>זה שנים ממחלות שונות – לרבות מחלת לב איסכמית שבגינה נדרש לניתוח ולצנתור. עוד הוגשו מסמכים בעניין מצבו הנפשי של הנאשם, שכאמור נ</w:t>
      </w:r>
      <w:r w:rsidR="005F73DF">
        <w:rPr>
          <w:rFonts w:ascii="David" w:eastAsia="Calibri" w:hAnsi="David" w:hint="cs"/>
          <w:rtl/>
        </w:rPr>
        <w:t xml:space="preserve">דון </w:t>
      </w:r>
      <w:r>
        <w:rPr>
          <w:rFonts w:ascii="David" w:eastAsia="Calibri" w:hAnsi="David"/>
          <w:rtl/>
        </w:rPr>
        <w:t xml:space="preserve">בהרחבה במסגרת הכרעת הדין. במסגרת הקלסר </w:t>
      </w:r>
      <w:r w:rsidR="00F416D9">
        <w:rPr>
          <w:rFonts w:ascii="David" w:eastAsia="Calibri" w:hAnsi="David" w:hint="cs"/>
          <w:rtl/>
        </w:rPr>
        <w:t xml:space="preserve">ס/1 </w:t>
      </w:r>
      <w:r>
        <w:rPr>
          <w:rFonts w:ascii="David" w:eastAsia="Calibri" w:hAnsi="David"/>
          <w:rtl/>
        </w:rPr>
        <w:t xml:space="preserve">גם הוגש אישור מהמוסד לביטוח לאומי אודות זכאות </w:t>
      </w:r>
      <w:r w:rsidR="00F416D9">
        <w:rPr>
          <w:rFonts w:ascii="David" w:eastAsia="Calibri" w:hAnsi="David" w:hint="cs"/>
          <w:rtl/>
        </w:rPr>
        <w:t xml:space="preserve">הנאשם </w:t>
      </w:r>
      <w:r w:rsidR="00F416D9">
        <w:rPr>
          <w:rFonts w:ascii="David" w:eastAsia="Calibri" w:hAnsi="David"/>
          <w:rtl/>
        </w:rPr>
        <w:t xml:space="preserve">לקצבאות בשנת 2021, </w:t>
      </w:r>
      <w:r w:rsidR="00F416D9">
        <w:rPr>
          <w:rFonts w:ascii="David" w:eastAsia="Calibri" w:hAnsi="David" w:hint="cs"/>
          <w:rtl/>
        </w:rPr>
        <w:t>בו</w:t>
      </w:r>
      <w:r>
        <w:rPr>
          <w:rFonts w:ascii="David" w:eastAsia="Calibri" w:hAnsi="David"/>
          <w:rtl/>
        </w:rPr>
        <w:t xml:space="preserve"> צוין כי נקבעה לנאשם נכות זמנית בשיעור של 80% ודרגת אי כושר זמנית בשיעור של 100%.</w:t>
      </w:r>
    </w:p>
    <w:p w:rsidR="00764BD4" w:rsidRDefault="00764BD4" w:rsidP="00764BD4">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 xml:space="preserve">בבית המשפט אף התייצבו </w:t>
      </w:r>
      <w:r w:rsidR="00F416D9">
        <w:rPr>
          <w:rFonts w:ascii="David" w:eastAsia="Calibri" w:hAnsi="David" w:hint="cs"/>
          <w:rtl/>
        </w:rPr>
        <w:t xml:space="preserve">כאמור </w:t>
      </w:r>
      <w:r>
        <w:rPr>
          <w:rFonts w:ascii="David" w:eastAsia="Calibri" w:hAnsi="David"/>
          <w:b/>
          <w:bCs/>
          <w:rtl/>
        </w:rPr>
        <w:t>אחד עשר עדי אופי</w:t>
      </w:r>
      <w:r>
        <w:rPr>
          <w:rFonts w:ascii="David" w:eastAsia="Calibri" w:hAnsi="David"/>
          <w:rtl/>
        </w:rPr>
        <w:t>, שביקשו כולם להעיד לטובתו של הנאשם. עדים אלה סיפרו – כל אחד בדרכו הוא ובהתאם להיכרותו וליחסיו עם הנאשם – על אופיו הטוב של הנאשם ובמיוחד על נדיבות ליבו ועל נכונותו לתרום ולסייע, בסכומים נכבדים וברוחב לב, לכל אדם המצוי במצוקה באשר הוא (בהקשר זה ר' גם האמור בפסקה 204 להכרעת הדין, אודות השבחים שחלקו לנאשם מרבית לקוחותיו).</w:t>
      </w:r>
    </w:p>
    <w:p w:rsidR="00764BD4" w:rsidRDefault="00764BD4" w:rsidP="00796BA1">
      <w:pPr>
        <w:numPr>
          <w:ilvl w:val="0"/>
          <w:numId w:val="3"/>
        </w:numPr>
        <w:tabs>
          <w:tab w:val="num" w:pos="720"/>
        </w:tabs>
        <w:spacing w:after="120" w:line="360" w:lineRule="auto"/>
        <w:ind w:left="720"/>
        <w:jc w:val="both"/>
        <w:rPr>
          <w:rFonts w:ascii="David" w:eastAsia="Calibri" w:hAnsi="David"/>
        </w:rPr>
      </w:pPr>
      <w:r>
        <w:rPr>
          <w:rFonts w:ascii="David" w:eastAsia="Calibri" w:hAnsi="David"/>
          <w:rtl/>
        </w:rPr>
        <w:lastRenderedPageBreak/>
        <w:t>כך, למשל, עד האופי אברהם יפת תיאר את הס</w:t>
      </w:r>
      <w:r w:rsidR="00F71828">
        <w:rPr>
          <w:rFonts w:ascii="David" w:eastAsia="Calibri" w:hAnsi="David"/>
          <w:rtl/>
        </w:rPr>
        <w:t xml:space="preserve">יוע שהנאשם הושיט לנזקקים, שלהם </w:t>
      </w:r>
      <w:r>
        <w:rPr>
          <w:rFonts w:ascii="David" w:eastAsia="Calibri" w:hAnsi="David"/>
          <w:rtl/>
        </w:rPr>
        <w:t xml:space="preserve">עד </w:t>
      </w:r>
      <w:r w:rsidR="00F71828">
        <w:rPr>
          <w:rFonts w:ascii="David" w:eastAsia="Calibri" w:hAnsi="David" w:hint="cs"/>
          <w:rtl/>
        </w:rPr>
        <w:t xml:space="preserve">זה </w:t>
      </w:r>
      <w:r>
        <w:rPr>
          <w:rFonts w:ascii="David" w:eastAsia="Calibri" w:hAnsi="David"/>
          <w:rtl/>
        </w:rPr>
        <w:t xml:space="preserve">סייע במסגרת מפעל חסד שהקים. מר יפת </w:t>
      </w:r>
      <w:r w:rsidR="00F71828">
        <w:rPr>
          <w:rFonts w:ascii="David" w:eastAsia="Calibri" w:hAnsi="David" w:hint="cs"/>
          <w:rtl/>
        </w:rPr>
        <w:t xml:space="preserve">אף הוסיף </w:t>
      </w:r>
      <w:r>
        <w:rPr>
          <w:rFonts w:ascii="David" w:eastAsia="Calibri" w:hAnsi="David"/>
          <w:rtl/>
        </w:rPr>
        <w:t xml:space="preserve">כי הנאשם פעל בדרך של מתן בסתר, ללא כל רצון לפרסום מעשיו (בפרוטוקול, עמ' 426 שורה 10 ואילך). עד האופי אברהם גליקרוב סיפר על הסיוע הנדיב שהעניק הנאשם לו ולבנותיו, לאחר שהעד עבר פציעה קשה (שם, עמ' 427), ועדת האופי אפרת שמי, לקוחה, סיפרה על העזרה שהעניק לה הנאשם, ללא </w:t>
      </w:r>
      <w:r w:rsidR="00F71828">
        <w:rPr>
          <w:rFonts w:ascii="David" w:eastAsia="Calibri" w:hAnsi="David" w:hint="cs"/>
          <w:rtl/>
        </w:rPr>
        <w:t xml:space="preserve">דרישת </w:t>
      </w:r>
      <w:r>
        <w:rPr>
          <w:rFonts w:ascii="David" w:eastAsia="Calibri" w:hAnsi="David"/>
          <w:rtl/>
        </w:rPr>
        <w:t xml:space="preserve">תמורה (שם, </w:t>
      </w:r>
      <w:r w:rsidR="00796BA1">
        <w:rPr>
          <w:rFonts w:ascii="David" w:eastAsia="Calibri" w:hAnsi="David" w:hint="cs"/>
          <w:rtl/>
        </w:rPr>
        <w:t>ב</w:t>
      </w:r>
      <w:r>
        <w:rPr>
          <w:rFonts w:ascii="David" w:eastAsia="Calibri" w:hAnsi="David"/>
          <w:rtl/>
        </w:rPr>
        <w:t>עמ' 429 שורה 3, ו</w:t>
      </w:r>
      <w:r w:rsidR="00C37B49">
        <w:rPr>
          <w:rFonts w:ascii="David" w:eastAsia="Calibri" w:hAnsi="David" w:hint="cs"/>
          <w:rtl/>
        </w:rPr>
        <w:t xml:space="preserve">בעמ' 434 שורה </w:t>
      </w:r>
      <w:r w:rsidR="00796BA1">
        <w:rPr>
          <w:rFonts w:ascii="David" w:eastAsia="Calibri" w:hAnsi="David" w:hint="cs"/>
          <w:rtl/>
        </w:rPr>
        <w:t>19</w:t>
      </w:r>
      <w:r>
        <w:rPr>
          <w:rFonts w:ascii="David" w:eastAsia="Calibri" w:hAnsi="David"/>
          <w:rtl/>
        </w:rPr>
        <w:t xml:space="preserve"> העידה </w:t>
      </w:r>
      <w:r w:rsidR="00796BA1">
        <w:rPr>
          <w:rFonts w:ascii="David" w:eastAsia="Calibri" w:hAnsi="David" w:hint="cs"/>
          <w:rtl/>
        </w:rPr>
        <w:t xml:space="preserve">כך </w:t>
      </w:r>
      <w:r>
        <w:rPr>
          <w:rFonts w:ascii="David" w:eastAsia="Calibri" w:hAnsi="David"/>
          <w:rtl/>
        </w:rPr>
        <w:t xml:space="preserve">גם לקוחה נוספת, דנה לוי). </w:t>
      </w:r>
      <w:r w:rsidR="00796BA1">
        <w:rPr>
          <w:rFonts w:ascii="David" w:eastAsia="Calibri" w:hAnsi="David" w:hint="cs"/>
          <w:rtl/>
        </w:rPr>
        <w:t xml:space="preserve">סיפורים </w:t>
      </w:r>
      <w:r>
        <w:rPr>
          <w:rFonts w:ascii="David" w:eastAsia="Calibri" w:hAnsi="David"/>
          <w:rtl/>
        </w:rPr>
        <w:t>דומים עלו גם מעדויותיהם של שאר עדי האופי. כך, למשל, משה נמני, ששימ</w:t>
      </w:r>
      <w:r w:rsidR="00F71828">
        <w:rPr>
          <w:rFonts w:ascii="David" w:eastAsia="Calibri" w:hAnsi="David"/>
          <w:rtl/>
        </w:rPr>
        <w:t>ש באגף הרווחה בהסתדרות בירושלים</w:t>
      </w:r>
      <w:r>
        <w:rPr>
          <w:rFonts w:ascii="David" w:eastAsia="Calibri" w:hAnsi="David"/>
          <w:rtl/>
        </w:rPr>
        <w:t xml:space="preserve"> וסיפר כי הכיר את הנאשם אצל הרב כדורי, העיד על הכרותו עם רבים שהיו במצוקה ונעזרו בנאשם (שם, עמ' 43</w:t>
      </w:r>
      <w:r w:rsidR="00796BA1">
        <w:rPr>
          <w:rFonts w:ascii="David" w:eastAsia="Calibri" w:hAnsi="David" w:hint="cs"/>
          <w:rtl/>
        </w:rPr>
        <w:t>6</w:t>
      </w:r>
      <w:r w:rsidR="00796BA1">
        <w:rPr>
          <w:rFonts w:ascii="David" w:eastAsia="Calibri" w:hAnsi="David"/>
          <w:rtl/>
        </w:rPr>
        <w:t xml:space="preserve"> שורה </w:t>
      </w:r>
      <w:r w:rsidR="00796BA1">
        <w:rPr>
          <w:rFonts w:ascii="David" w:eastAsia="Calibri" w:hAnsi="David" w:hint="cs"/>
          <w:rtl/>
        </w:rPr>
        <w:t>30</w:t>
      </w:r>
      <w:r>
        <w:rPr>
          <w:rFonts w:ascii="David" w:eastAsia="Calibri" w:hAnsi="David"/>
          <w:rtl/>
        </w:rPr>
        <w:t xml:space="preserve"> ואילך).</w:t>
      </w:r>
    </w:p>
    <w:p w:rsidR="00764BD4" w:rsidRDefault="00764BD4" w:rsidP="00764BD4">
      <w:pPr>
        <w:spacing w:after="120" w:line="360" w:lineRule="auto"/>
        <w:jc w:val="both"/>
        <w:rPr>
          <w:rFonts w:ascii="David" w:eastAsia="Calibri" w:hAnsi="David"/>
        </w:rPr>
      </w:pPr>
    </w:p>
    <w:p w:rsidR="00764BD4" w:rsidRDefault="00764BD4" w:rsidP="00764BD4">
      <w:pPr>
        <w:spacing w:after="120" w:line="360" w:lineRule="auto"/>
        <w:jc w:val="both"/>
        <w:rPr>
          <w:rFonts w:ascii="David" w:hAnsi="David"/>
          <w:b/>
          <w:bCs/>
          <w:u w:val="single"/>
          <w:rtl/>
        </w:rPr>
      </w:pPr>
      <w:r>
        <w:rPr>
          <w:rFonts w:ascii="David" w:hAnsi="David"/>
          <w:b/>
          <w:bCs/>
          <w:rtl/>
        </w:rPr>
        <w:t>ג.</w:t>
      </w:r>
      <w:r>
        <w:rPr>
          <w:rFonts w:ascii="David" w:hAnsi="David"/>
          <w:b/>
          <w:bCs/>
          <w:rtl/>
        </w:rPr>
        <w:tab/>
      </w:r>
      <w:r>
        <w:rPr>
          <w:rFonts w:ascii="David" w:eastAsia="Calibri" w:hAnsi="David"/>
          <w:b/>
          <w:bCs/>
          <w:u w:val="single"/>
          <w:rtl/>
        </w:rPr>
        <w:t>עיקר טיעוני הצדדים:</w:t>
      </w:r>
    </w:p>
    <w:p w:rsidR="00764BD4" w:rsidRDefault="00764BD4" w:rsidP="00764BD4">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בטיעוניה לעונש עמדה ב"כ המאשימה על העובדות שבגינן הורשע הנאשם, תוך הפניה לקביעות הרלוואנטיות שבהכרעת הדין. ב"כ המאשימה הדגישה במיוחד את התקופה הממושכת של ביצוע העבירות (שמונה שנים) ואת היקף ההשמטה ה"</w:t>
      </w:r>
      <w:r>
        <w:rPr>
          <w:rFonts w:ascii="David" w:eastAsia="Calibri" w:hAnsi="David"/>
          <w:b/>
          <w:bCs/>
          <w:rtl/>
        </w:rPr>
        <w:t>אדיר</w:t>
      </w:r>
      <w:r>
        <w:rPr>
          <w:rFonts w:ascii="David" w:eastAsia="Calibri" w:hAnsi="David"/>
          <w:rtl/>
        </w:rPr>
        <w:t xml:space="preserve">" (השמטת הכנסה בהיקף של למעלה מ-9.3 מיליון ₪ והשמטת מע"מ בהיקף של למעלה מ-1.9 מיליון ₪). עוד הדגישה ב"כ המאשימה כי מדובר, כעולה מהקביעות בהכרעת הדין, במסכת עבריינית שהתאפיינה בתכנון מוקדם, בתחכום ובשיטתיות, </w:t>
      </w:r>
      <w:r w:rsidR="00F71828">
        <w:rPr>
          <w:rFonts w:ascii="David" w:eastAsia="Calibri" w:hAnsi="David" w:hint="cs"/>
          <w:rtl/>
        </w:rPr>
        <w:t>ובעב</w:t>
      </w:r>
      <w:r w:rsidR="00342308">
        <w:rPr>
          <w:rFonts w:ascii="David" w:eastAsia="Calibri" w:hAnsi="David" w:hint="cs"/>
          <w:rtl/>
        </w:rPr>
        <w:t xml:space="preserve">ירות </w:t>
      </w:r>
      <w:r>
        <w:rPr>
          <w:rFonts w:ascii="David" w:eastAsia="Calibri" w:hAnsi="David"/>
          <w:rtl/>
        </w:rPr>
        <w:t>שבוצע</w:t>
      </w:r>
      <w:r w:rsidR="00342308">
        <w:rPr>
          <w:rFonts w:ascii="David" w:eastAsia="Calibri" w:hAnsi="David" w:hint="cs"/>
          <w:rtl/>
        </w:rPr>
        <w:t>ו</w:t>
      </w:r>
      <w:r>
        <w:rPr>
          <w:rFonts w:ascii="David" w:eastAsia="Calibri" w:hAnsi="David"/>
          <w:rtl/>
        </w:rPr>
        <w:t xml:space="preserve"> מתוך בצע כסף ו</w:t>
      </w:r>
      <w:r w:rsidR="00342308">
        <w:rPr>
          <w:rFonts w:ascii="David" w:eastAsia="Calibri" w:hAnsi="David" w:hint="cs"/>
          <w:rtl/>
        </w:rPr>
        <w:t xml:space="preserve">מתוך </w:t>
      </w:r>
      <w:r>
        <w:rPr>
          <w:rFonts w:ascii="David" w:eastAsia="Calibri" w:hAnsi="David"/>
          <w:rtl/>
        </w:rPr>
        <w:t>מטרה להעלים הכנסות מעסקו של הנאשם (ר' בפרוטוקול, עמ' 440 שורה 11 ואילך; עמ' 441 שורה 25 ואילך).</w:t>
      </w:r>
    </w:p>
    <w:p w:rsidR="00764BD4" w:rsidRDefault="00764BD4" w:rsidP="00342308">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לעניין קביעת מתחם העונש ההולם הדגישה ב"כ המאשימה את העובדה כי מעשיו של הנאשם פגעו בערך החברתי של ההגנה על הקופה הציבורית, כאשר במעשיו גזל הנאשם כספים רבים מהקופה האמורה לתמוך במעוטי היכולת, וזאת מעבר לפגיעה ב</w:t>
      </w:r>
      <w:r w:rsidR="00342308">
        <w:rPr>
          <w:rFonts w:ascii="David" w:eastAsia="Calibri" w:hAnsi="David"/>
          <w:rtl/>
        </w:rPr>
        <w:t>הגנה על ערך השוויו</w:t>
      </w:r>
      <w:r w:rsidR="00342308">
        <w:rPr>
          <w:rFonts w:ascii="David" w:eastAsia="Calibri" w:hAnsi="David" w:hint="cs"/>
          <w:rtl/>
        </w:rPr>
        <w:t>ן</w:t>
      </w:r>
      <w:r>
        <w:rPr>
          <w:rFonts w:ascii="David" w:eastAsia="Calibri" w:hAnsi="David"/>
          <w:rtl/>
        </w:rPr>
        <w:t xml:space="preserve"> בנשיאת נטל המס. חומרה יתרה ביקשה ב"כ המאשימה למצוא ב</w:t>
      </w:r>
      <w:r w:rsidR="00342308">
        <w:rPr>
          <w:rFonts w:ascii="David" w:eastAsia="Calibri" w:hAnsi="David" w:hint="cs"/>
          <w:rtl/>
        </w:rPr>
        <w:t xml:space="preserve">ביצוע </w:t>
      </w:r>
      <w:r>
        <w:rPr>
          <w:rFonts w:ascii="David" w:eastAsia="Calibri" w:hAnsi="David"/>
          <w:rtl/>
        </w:rPr>
        <w:t>עבירות המע"מ, שכן לגביהן שימש הנאשם כמעין נאמן על הכספים ש</w:t>
      </w:r>
      <w:r w:rsidR="00342308">
        <w:rPr>
          <w:rFonts w:ascii="David" w:eastAsia="Calibri" w:hAnsi="David" w:hint="cs"/>
          <w:rtl/>
        </w:rPr>
        <w:t xml:space="preserve">אותם </w:t>
      </w:r>
      <w:r>
        <w:rPr>
          <w:rFonts w:ascii="David" w:eastAsia="Calibri" w:hAnsi="David"/>
          <w:rtl/>
        </w:rPr>
        <w:t xml:space="preserve">גבה מלקוחותיו בעבור </w:t>
      </w:r>
      <w:r w:rsidR="00342308">
        <w:rPr>
          <w:rFonts w:ascii="David" w:eastAsia="Calibri" w:hAnsi="David" w:hint="cs"/>
          <w:rtl/>
        </w:rPr>
        <w:t xml:space="preserve">רשויות </w:t>
      </w:r>
      <w:r>
        <w:rPr>
          <w:rFonts w:ascii="David" w:eastAsia="Calibri" w:hAnsi="David"/>
          <w:rtl/>
        </w:rPr>
        <w:t xml:space="preserve">המס, </w:t>
      </w:r>
      <w:r w:rsidR="00342308">
        <w:rPr>
          <w:rFonts w:ascii="David" w:eastAsia="Calibri" w:hAnsi="David" w:hint="cs"/>
          <w:rtl/>
        </w:rPr>
        <w:t>ו</w:t>
      </w:r>
      <w:r>
        <w:rPr>
          <w:rFonts w:ascii="David" w:eastAsia="Calibri" w:hAnsi="David"/>
          <w:rtl/>
        </w:rPr>
        <w:t>בכך שלא העבירם לקופת המדינה ביצע גניבה של ממש.</w:t>
      </w:r>
    </w:p>
    <w:p w:rsidR="00764BD4" w:rsidRDefault="00764BD4" w:rsidP="00342308">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בנוסף</w:t>
      </w:r>
      <w:r w:rsidR="00342308">
        <w:rPr>
          <w:rFonts w:ascii="David" w:eastAsia="Calibri" w:hAnsi="David" w:hint="cs"/>
          <w:rtl/>
        </w:rPr>
        <w:t xml:space="preserve"> הטעימה ב"כ המאשימה כי </w:t>
      </w:r>
      <w:r>
        <w:rPr>
          <w:rFonts w:ascii="David" w:eastAsia="Calibri" w:hAnsi="David"/>
          <w:rtl/>
        </w:rPr>
        <w:t>הנאשם הוא העבריין העיקרי והיחיד בתיק, שניהל ביד רמה את עסקו, ו</w:t>
      </w:r>
      <w:r w:rsidR="00342308">
        <w:rPr>
          <w:rFonts w:ascii="David" w:eastAsia="Calibri" w:hAnsi="David" w:hint="cs"/>
          <w:rtl/>
        </w:rPr>
        <w:t xml:space="preserve">שכל </w:t>
      </w:r>
      <w:r>
        <w:rPr>
          <w:rFonts w:ascii="David" w:eastAsia="Calibri" w:hAnsi="David"/>
          <w:rtl/>
        </w:rPr>
        <w:t>ניסיונותיו לגלגל את אשמתו לפתחם של</w:t>
      </w:r>
      <w:r w:rsidR="00342308">
        <w:rPr>
          <w:rFonts w:ascii="David" w:eastAsia="Calibri" w:hAnsi="David"/>
          <w:rtl/>
        </w:rPr>
        <w:t xml:space="preserve"> אחרים נדחו בהכרעת הדין. </w:t>
      </w:r>
      <w:r>
        <w:rPr>
          <w:rFonts w:ascii="David" w:eastAsia="Calibri" w:hAnsi="David"/>
          <w:rtl/>
        </w:rPr>
        <w:t xml:space="preserve">הביצוע המתמשך </w:t>
      </w:r>
      <w:r w:rsidR="00342308">
        <w:rPr>
          <w:rFonts w:ascii="David" w:eastAsia="Calibri" w:hAnsi="David" w:hint="cs"/>
          <w:rtl/>
        </w:rPr>
        <w:t xml:space="preserve">אף </w:t>
      </w:r>
      <w:r>
        <w:rPr>
          <w:rFonts w:ascii="David" w:eastAsia="Calibri" w:hAnsi="David"/>
          <w:rtl/>
        </w:rPr>
        <w:t xml:space="preserve">מלמד שאין עסקינן במעידה חד פעמית אלא בביצוע </w:t>
      </w:r>
      <w:r w:rsidR="00342308">
        <w:rPr>
          <w:rFonts w:ascii="David" w:eastAsia="Calibri" w:hAnsi="David" w:hint="cs"/>
          <w:rtl/>
        </w:rPr>
        <w:t xml:space="preserve">עברייני </w:t>
      </w:r>
      <w:r w:rsidR="00342308">
        <w:rPr>
          <w:rFonts w:ascii="David" w:eastAsia="Calibri" w:hAnsi="David"/>
          <w:rtl/>
        </w:rPr>
        <w:t>מתוכנן ומתמשך. הלכה למעשה</w:t>
      </w:r>
      <w:r w:rsidR="00342308">
        <w:rPr>
          <w:rFonts w:ascii="David" w:eastAsia="Calibri" w:hAnsi="David" w:hint="cs"/>
          <w:rtl/>
        </w:rPr>
        <w:t xml:space="preserve"> היו</w:t>
      </w:r>
      <w:r w:rsidR="00342308">
        <w:rPr>
          <w:rFonts w:ascii="David" w:eastAsia="Calibri" w:hAnsi="David"/>
          <w:rtl/>
        </w:rPr>
        <w:t xml:space="preserve"> לנאשם </w:t>
      </w:r>
      <w:r>
        <w:rPr>
          <w:rFonts w:ascii="David" w:eastAsia="Calibri" w:hAnsi="David"/>
          <w:rtl/>
        </w:rPr>
        <w:t xml:space="preserve">שמונה שנים לשוב מדרכיו הרעות, אך הוא בחר להמשיך ולבצע את העבירות, </w:t>
      </w:r>
      <w:r w:rsidR="00342308">
        <w:rPr>
          <w:rFonts w:ascii="David" w:eastAsia="Calibri" w:hAnsi="David" w:hint="cs"/>
          <w:rtl/>
        </w:rPr>
        <w:t>א</w:t>
      </w:r>
      <w:r>
        <w:rPr>
          <w:rFonts w:ascii="David" w:eastAsia="Calibri" w:hAnsi="David"/>
          <w:rtl/>
        </w:rPr>
        <w:t>ש</w:t>
      </w:r>
      <w:r w:rsidR="00342308">
        <w:rPr>
          <w:rFonts w:ascii="David" w:eastAsia="Calibri" w:hAnsi="David" w:hint="cs"/>
          <w:rtl/>
        </w:rPr>
        <w:t xml:space="preserve">ר </w:t>
      </w:r>
      <w:r>
        <w:rPr>
          <w:rFonts w:ascii="David" w:eastAsia="Calibri" w:hAnsi="David"/>
          <w:rtl/>
        </w:rPr>
        <w:t>ביצוען ה</w:t>
      </w:r>
      <w:r w:rsidR="00342308">
        <w:rPr>
          <w:rFonts w:ascii="David" w:eastAsia="Calibri" w:hAnsi="David"/>
          <w:rtl/>
        </w:rPr>
        <w:t>ופסק לא ביוזמת</w:t>
      </w:r>
      <w:r w:rsidR="00342308">
        <w:rPr>
          <w:rFonts w:ascii="David" w:eastAsia="Calibri" w:hAnsi="David" w:hint="cs"/>
          <w:rtl/>
        </w:rPr>
        <w:t>ו</w:t>
      </w:r>
      <w:r w:rsidR="00342308">
        <w:rPr>
          <w:rFonts w:ascii="David" w:eastAsia="Calibri" w:hAnsi="David"/>
          <w:rtl/>
        </w:rPr>
        <w:t xml:space="preserve"> אלא בזכות</w:t>
      </w:r>
      <w:r>
        <w:rPr>
          <w:rFonts w:ascii="David" w:eastAsia="Calibri" w:hAnsi="David"/>
          <w:rtl/>
        </w:rPr>
        <w:t xml:space="preserve"> חקירת רשות המיסים (בפרוטוקול, עמ' 441 שורה 11 ואילך). </w:t>
      </w:r>
      <w:r w:rsidR="00342308">
        <w:rPr>
          <w:rFonts w:ascii="David" w:eastAsia="Calibri" w:hAnsi="David" w:hint="cs"/>
          <w:rtl/>
        </w:rPr>
        <w:t xml:space="preserve">בנוסף, </w:t>
      </w:r>
      <w:r>
        <w:rPr>
          <w:rFonts w:ascii="David" w:eastAsia="Calibri" w:hAnsi="David"/>
          <w:rtl/>
        </w:rPr>
        <w:t xml:space="preserve">לא זו בלבד שהנאשם הפיק הכנסות ניכרות מעסק </w:t>
      </w:r>
      <w:r w:rsidR="00342308">
        <w:rPr>
          <w:rFonts w:ascii="David" w:eastAsia="Calibri" w:hAnsi="David" w:hint="cs"/>
          <w:rtl/>
        </w:rPr>
        <w:t xml:space="preserve">שהיה </w:t>
      </w:r>
      <w:r>
        <w:rPr>
          <w:rFonts w:ascii="David" w:eastAsia="Calibri" w:hAnsi="David"/>
          <w:rtl/>
        </w:rPr>
        <w:t xml:space="preserve">משגשג ומצליח אלא </w:t>
      </w:r>
      <w:r w:rsidR="00342308">
        <w:rPr>
          <w:rFonts w:ascii="David" w:eastAsia="Calibri" w:hAnsi="David" w:hint="cs"/>
          <w:rtl/>
        </w:rPr>
        <w:t>הוא גם נ</w:t>
      </w:r>
      <w:r>
        <w:rPr>
          <w:rFonts w:ascii="David" w:eastAsia="Calibri" w:hAnsi="David"/>
          <w:rtl/>
        </w:rPr>
        <w:t xml:space="preserve">יצל את </w:t>
      </w:r>
      <w:r w:rsidR="00342308">
        <w:rPr>
          <w:rFonts w:ascii="David" w:eastAsia="Calibri" w:hAnsi="David" w:hint="cs"/>
          <w:rtl/>
        </w:rPr>
        <w:t xml:space="preserve">אלה שעבדו </w:t>
      </w:r>
      <w:r>
        <w:rPr>
          <w:rFonts w:ascii="David" w:eastAsia="Calibri" w:hAnsi="David"/>
          <w:rtl/>
        </w:rPr>
        <w:t>עבורו על מנת להגיש דיווחים כוזבים.</w:t>
      </w:r>
    </w:p>
    <w:p w:rsidR="00764BD4" w:rsidRDefault="00764BD4" w:rsidP="00764BD4">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 xml:space="preserve">בנסיבות אלה עתרה ב"כ המאשימה לקביעת מתחם עונש הולם (אחד) שבין 36 חודשי מאסר בפועל לבין 54 חודשי מאסר בפועל, ולמתחם קנס </w:t>
      </w:r>
      <w:r w:rsidR="00342308">
        <w:rPr>
          <w:rFonts w:ascii="David" w:eastAsia="Calibri" w:hAnsi="David" w:hint="cs"/>
          <w:rtl/>
        </w:rPr>
        <w:t xml:space="preserve">הולם </w:t>
      </w:r>
      <w:r>
        <w:rPr>
          <w:rFonts w:ascii="David" w:eastAsia="Calibri" w:hAnsi="David"/>
          <w:rtl/>
        </w:rPr>
        <w:t xml:space="preserve">שבין 100,000 ₪ לבין </w:t>
      </w:r>
      <w:r>
        <w:rPr>
          <w:rFonts w:ascii="David" w:eastAsia="Calibri" w:hAnsi="David"/>
          <w:rtl/>
        </w:rPr>
        <w:lastRenderedPageBreak/>
        <w:t xml:space="preserve">500,000 ₪. ב"כ המאשימה תמכה </w:t>
      </w:r>
      <w:r w:rsidR="00342308">
        <w:rPr>
          <w:rFonts w:ascii="David" w:eastAsia="Calibri" w:hAnsi="David" w:hint="cs"/>
          <w:rtl/>
        </w:rPr>
        <w:t xml:space="preserve">את </w:t>
      </w:r>
      <w:r>
        <w:rPr>
          <w:rFonts w:ascii="David" w:eastAsia="Calibri" w:hAnsi="David"/>
          <w:rtl/>
        </w:rPr>
        <w:t>טיעוניה, לעניין מדיניות הענישה הנהוגה, בפסיקה רבה (שהוגשה במסגרת טבלה, ר' בבקשה מס' 70). במיוחד ביקשה ב"כ המאשימה להפנות לאותם מקרים בהם דובר בהשמטות בסכומים פח</w:t>
      </w:r>
      <w:r w:rsidR="00342308">
        <w:rPr>
          <w:rFonts w:ascii="David" w:eastAsia="Calibri" w:hAnsi="David"/>
          <w:rtl/>
        </w:rPr>
        <w:t>ותים מבענייננו, על מנת ללמוד מה</w:t>
      </w:r>
      <w:r w:rsidR="00342308">
        <w:rPr>
          <w:rFonts w:ascii="David" w:eastAsia="Calibri" w:hAnsi="David" w:hint="cs"/>
          <w:rtl/>
        </w:rPr>
        <w:t>ם</w:t>
      </w:r>
      <w:r>
        <w:rPr>
          <w:rFonts w:ascii="David" w:eastAsia="Calibri" w:hAnsi="David"/>
          <w:rtl/>
        </w:rPr>
        <w:t xml:space="preserve"> על דרך קל וחומר לעניין קביעת מתחם העונש ההולם </w:t>
      </w:r>
      <w:r w:rsidR="00342308">
        <w:rPr>
          <w:rFonts w:ascii="David" w:eastAsia="Calibri" w:hAnsi="David" w:hint="cs"/>
          <w:rtl/>
        </w:rPr>
        <w:t xml:space="preserve">בפרשה דנא </w:t>
      </w:r>
      <w:r>
        <w:rPr>
          <w:rFonts w:ascii="David" w:eastAsia="Calibri" w:hAnsi="David"/>
          <w:rtl/>
        </w:rPr>
        <w:t>(</w:t>
      </w:r>
      <w:r w:rsidR="00342308">
        <w:rPr>
          <w:rFonts w:ascii="David" w:eastAsia="Calibri" w:hAnsi="David" w:hint="cs"/>
          <w:rtl/>
        </w:rPr>
        <w:t xml:space="preserve">ר' </w:t>
      </w:r>
      <w:r>
        <w:rPr>
          <w:rFonts w:ascii="David" w:eastAsia="Calibri" w:hAnsi="David"/>
          <w:rtl/>
        </w:rPr>
        <w:t>בפרוטוקול, עמ' 442, שורה 10 ואילך).</w:t>
      </w:r>
    </w:p>
    <w:p w:rsidR="00A527B4" w:rsidRDefault="00764BD4" w:rsidP="00764BD4">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 xml:space="preserve">כך הפנתה ב"כ המאשימה לת"פ (מחוזי מרכז) 42814-10-14 </w:t>
      </w:r>
      <w:r>
        <w:rPr>
          <w:rFonts w:ascii="David" w:eastAsia="Calibri" w:hAnsi="David"/>
          <w:b/>
          <w:bCs/>
          <w:rtl/>
        </w:rPr>
        <w:t>מדינת ישראל נ' לוי</w:t>
      </w:r>
      <w:r>
        <w:rPr>
          <w:rFonts w:ascii="David" w:eastAsia="Calibri" w:hAnsi="David"/>
          <w:rtl/>
        </w:rPr>
        <w:t xml:space="preserve"> (23.12.2021), שם נקבע מתחם עונש הולם שבין 30 חודשי מאסר בפועל לבין 50 חודשי מאסר בפועל להשמטת הכנסות בהיקף של 8.6 מיליון ₪ במשך 7 שנים. עם זאת יש להעיר כי שם דובר בכמה וכמה אישומים נוספים, חמורים יותר במהותם, כאשר ערעור מטעם הנאשם דשם </w:t>
      </w:r>
      <w:r w:rsidR="00A527B4">
        <w:rPr>
          <w:rFonts w:ascii="David" w:eastAsia="Calibri" w:hAnsi="David" w:hint="cs"/>
          <w:rtl/>
        </w:rPr>
        <w:t xml:space="preserve">עדיין </w:t>
      </w:r>
      <w:r>
        <w:rPr>
          <w:rFonts w:ascii="David" w:eastAsia="Calibri" w:hAnsi="David"/>
          <w:rtl/>
        </w:rPr>
        <w:t xml:space="preserve">תלוי ועומד </w:t>
      </w:r>
      <w:r w:rsidR="00A527B4">
        <w:rPr>
          <w:rFonts w:ascii="David" w:eastAsia="Calibri" w:hAnsi="David"/>
          <w:rtl/>
        </w:rPr>
        <w:t>בבית המשפט העליון (ע"פ 798/22).</w:t>
      </w:r>
    </w:p>
    <w:p w:rsidR="00764BD4" w:rsidRDefault="00764BD4" w:rsidP="00764BD4">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עוד הפנתה ב"כ המאשימה לע"פ (מחוזי ב"ש) 13791-02-19 </w:t>
      </w:r>
      <w:r>
        <w:rPr>
          <w:rFonts w:ascii="David" w:eastAsia="Calibri" w:hAnsi="David"/>
          <w:b/>
          <w:bCs/>
          <w:rtl/>
        </w:rPr>
        <w:t>חנבוט נ' מדינת ישראל</w:t>
      </w:r>
      <w:r>
        <w:rPr>
          <w:rFonts w:ascii="David" w:eastAsia="Calibri" w:hAnsi="David"/>
          <w:rtl/>
        </w:rPr>
        <w:t> (17.04.2019), שם דובר בעבירות מס בהיקף של 8.3 מיליון ₪ במשך 4 שנים, כאשר בבית המשפט המחוזי נקבע שהרף התחתון של מתחם העונש ההולם הוא שלוש שנים. ואולם, באותו מקרה דובר בעבירות חמורות נוספות לפי הוראות חוק מע"מ, שהיו כרוכות בשימוש נרחב בחשבוניות פיקטיביות. עוד ניתן לציין, מתוך הטבלה שהגישה המאשימה, את ע"פ (מחוזי ת"א) 2450-09-17 </w:t>
      </w:r>
      <w:r>
        <w:rPr>
          <w:rFonts w:ascii="David" w:eastAsia="Calibri" w:hAnsi="David"/>
          <w:b/>
          <w:bCs/>
          <w:rtl/>
        </w:rPr>
        <w:t>סוויד נ' מדינת ישראל</w:t>
      </w:r>
      <w:r>
        <w:rPr>
          <w:rFonts w:ascii="David" w:eastAsia="Calibri" w:hAnsi="David"/>
          <w:rtl/>
        </w:rPr>
        <w:t> (31.01.2018), בו דובר בהשמטת הכנסה בהיקף של 2.4 מיליון ₪ במשך 9 שנים, תוך התקיימות נסיבות מחמירות נוספות בשל התפקי</w:t>
      </w:r>
      <w:r w:rsidR="00A527B4">
        <w:rPr>
          <w:rFonts w:ascii="David" w:eastAsia="Calibri" w:hAnsi="David"/>
          <w:rtl/>
        </w:rPr>
        <w:t xml:space="preserve">ד </w:t>
      </w:r>
      <w:r w:rsidR="00A527B4">
        <w:rPr>
          <w:rFonts w:ascii="David" w:eastAsia="Calibri" w:hAnsi="David" w:hint="cs"/>
          <w:rtl/>
        </w:rPr>
        <w:t xml:space="preserve">אותו </w:t>
      </w:r>
      <w:r>
        <w:rPr>
          <w:rFonts w:ascii="David" w:eastAsia="Calibri" w:hAnsi="David"/>
          <w:rtl/>
        </w:rPr>
        <w:t>מילא המערער דשם. בעניין זה, שנדון בערכאה הראשונה לפניי, ערכאת הערעור דווקא הקלה בקביעת מתחם העונש ההולם וקבעה רף תחתון של 10 חודשי מאסר בפועל.</w:t>
      </w:r>
    </w:p>
    <w:p w:rsidR="00A527B4" w:rsidRDefault="00764BD4" w:rsidP="005F34A3">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 xml:space="preserve">אשר לגזירת עונשו של הנאשם בתוך מתחם העונש ההולם הרחיבה ב"כ המאשימה בתיאור היקף המחדל ואי הסרתו. כבר </w:t>
      </w:r>
      <w:r w:rsidR="005F34A3">
        <w:rPr>
          <w:rFonts w:ascii="David" w:eastAsia="Calibri" w:hAnsi="David" w:hint="cs"/>
          <w:rtl/>
        </w:rPr>
        <w:t xml:space="preserve">אזכרנו </w:t>
      </w:r>
      <w:r>
        <w:rPr>
          <w:rFonts w:ascii="David" w:eastAsia="Calibri" w:hAnsi="David"/>
          <w:rtl/>
        </w:rPr>
        <w:t xml:space="preserve">לעיל </w:t>
      </w:r>
      <w:r w:rsidR="005F34A3">
        <w:rPr>
          <w:rFonts w:ascii="David" w:eastAsia="Calibri" w:hAnsi="David" w:hint="cs"/>
          <w:rtl/>
        </w:rPr>
        <w:t xml:space="preserve">את </w:t>
      </w:r>
      <w:r>
        <w:rPr>
          <w:rFonts w:ascii="David" w:eastAsia="Calibri" w:hAnsi="David"/>
          <w:rtl/>
        </w:rPr>
        <w:t>הראיות והטיעונים שהוגשו בעניין זה על ידי ב"כ הצדדים (ר'</w:t>
      </w:r>
      <w:r w:rsidR="005F34A3">
        <w:rPr>
          <w:rFonts w:ascii="David" w:eastAsia="Calibri" w:hAnsi="David"/>
          <w:rtl/>
        </w:rPr>
        <w:t xml:space="preserve"> בפסק</w:t>
      </w:r>
      <w:r w:rsidR="005F34A3">
        <w:rPr>
          <w:rFonts w:ascii="David" w:eastAsia="Calibri" w:hAnsi="David" w:hint="cs"/>
          <w:rtl/>
        </w:rPr>
        <w:t>אות 15-13</w:t>
      </w:r>
      <w:r>
        <w:rPr>
          <w:rFonts w:ascii="David" w:eastAsia="Calibri" w:hAnsi="David"/>
          <w:rtl/>
        </w:rPr>
        <w:t xml:space="preserve"> דלעיל), וכאן יצוין כי בטיעוניה </w:t>
      </w:r>
      <w:r w:rsidR="005F34A3">
        <w:rPr>
          <w:rFonts w:ascii="David" w:eastAsia="Calibri" w:hAnsi="David" w:hint="cs"/>
          <w:rtl/>
        </w:rPr>
        <w:t xml:space="preserve">לעונש </w:t>
      </w:r>
      <w:r>
        <w:rPr>
          <w:rFonts w:ascii="David" w:eastAsia="Calibri" w:hAnsi="David"/>
          <w:rtl/>
        </w:rPr>
        <w:t xml:space="preserve">הדגישה ב"כ המאשימה </w:t>
      </w:r>
      <w:r w:rsidR="005A37E2">
        <w:rPr>
          <w:rFonts w:ascii="David" w:eastAsia="Calibri" w:hAnsi="David" w:hint="cs"/>
          <w:rtl/>
        </w:rPr>
        <w:t>שלא זו בלבד שטרם הוסר חלק כלשהו מהמחדל</w:t>
      </w:r>
      <w:r w:rsidR="00A527B4">
        <w:rPr>
          <w:rFonts w:ascii="David" w:eastAsia="Calibri" w:hAnsi="David" w:hint="cs"/>
          <w:rtl/>
        </w:rPr>
        <w:t>,</w:t>
      </w:r>
      <w:r w:rsidR="005A37E2">
        <w:rPr>
          <w:rFonts w:ascii="David" w:eastAsia="Calibri" w:hAnsi="David" w:hint="cs"/>
          <w:rtl/>
        </w:rPr>
        <w:t xml:space="preserve"> אלא שאף </w:t>
      </w:r>
      <w:r>
        <w:rPr>
          <w:rFonts w:ascii="David" w:eastAsia="Calibri" w:hAnsi="David"/>
          <w:rtl/>
        </w:rPr>
        <w:t>טרם הוצאה שומה למלוא השנים בהן</w:t>
      </w:r>
      <w:r w:rsidR="005A37E2">
        <w:rPr>
          <w:rFonts w:ascii="David" w:eastAsia="Calibri" w:hAnsi="David"/>
          <w:rtl/>
        </w:rPr>
        <w:t xml:space="preserve"> בוצעו העבירות משום שהנאשם</w:t>
      </w:r>
      <w:r>
        <w:rPr>
          <w:rFonts w:ascii="David" w:eastAsia="Calibri" w:hAnsi="David"/>
          <w:rtl/>
        </w:rPr>
        <w:t xml:space="preserve"> לא פנה על מנת להסיר המחדל לגביהן. יתר על כן, כשפנו למייצג בעניין זה נטען כי </w:t>
      </w:r>
      <w:r w:rsidR="005A37E2">
        <w:rPr>
          <w:rFonts w:ascii="David" w:eastAsia="Calibri" w:hAnsi="David"/>
          <w:rtl/>
        </w:rPr>
        <w:t>לנאשם אין כסף לשלם</w:t>
      </w:r>
      <w:r w:rsidR="005A37E2">
        <w:rPr>
          <w:rFonts w:ascii="David" w:eastAsia="Calibri" w:hAnsi="David" w:hint="cs"/>
          <w:rtl/>
        </w:rPr>
        <w:t>;</w:t>
      </w:r>
      <w:r>
        <w:rPr>
          <w:rFonts w:ascii="David" w:eastAsia="Calibri" w:hAnsi="David"/>
          <w:rtl/>
        </w:rPr>
        <w:t xml:space="preserve"> והדברים מדברים בעד עצמם (בפרוטוקול, עמ' 444 שורה 5 ואילך). ב"כ המאשימה </w:t>
      </w:r>
      <w:r w:rsidR="005F34A3">
        <w:rPr>
          <w:rFonts w:ascii="David" w:eastAsia="Calibri" w:hAnsi="David" w:hint="cs"/>
          <w:rtl/>
        </w:rPr>
        <w:t>הוסיפה ו</w:t>
      </w:r>
      <w:r w:rsidR="005A37E2">
        <w:rPr>
          <w:rFonts w:ascii="David" w:eastAsia="Calibri" w:hAnsi="David"/>
          <w:rtl/>
        </w:rPr>
        <w:t>הטעימה</w:t>
      </w:r>
      <w:r w:rsidR="005A37E2">
        <w:rPr>
          <w:rFonts w:ascii="David" w:eastAsia="Calibri" w:hAnsi="David" w:hint="cs"/>
          <w:rtl/>
        </w:rPr>
        <w:t xml:space="preserve">, בהקשר זה, </w:t>
      </w:r>
      <w:r>
        <w:rPr>
          <w:rFonts w:ascii="David" w:eastAsia="Calibri" w:hAnsi="David"/>
          <w:rtl/>
        </w:rPr>
        <w:t xml:space="preserve">כי צו הכינוס בעניינו של הנאשם – שלא הוכרז כפושט רגל – </w:t>
      </w:r>
      <w:r w:rsidR="00A527B4">
        <w:rPr>
          <w:rFonts w:ascii="David" w:eastAsia="Calibri" w:hAnsi="David" w:hint="cs"/>
          <w:rtl/>
        </w:rPr>
        <w:t xml:space="preserve">הוצא רק בחודש יולי 2018 ועל כן </w:t>
      </w:r>
      <w:r>
        <w:rPr>
          <w:rFonts w:ascii="David" w:eastAsia="Calibri" w:hAnsi="David"/>
          <w:rtl/>
        </w:rPr>
        <w:t>אינו יכול לשמש כתירוץ ל</w:t>
      </w:r>
      <w:r w:rsidR="005A37E2">
        <w:rPr>
          <w:rFonts w:ascii="David" w:eastAsia="Calibri" w:hAnsi="David" w:hint="cs"/>
          <w:rtl/>
        </w:rPr>
        <w:t>אי הסרת המחדל</w:t>
      </w:r>
      <w:r w:rsidR="00A527B4">
        <w:rPr>
          <w:rFonts w:ascii="David" w:eastAsia="Calibri" w:hAnsi="David" w:hint="cs"/>
          <w:rtl/>
        </w:rPr>
        <w:t xml:space="preserve"> בכל התקופה שחלפה עד להוצאתו.</w:t>
      </w:r>
    </w:p>
    <w:p w:rsidR="00885C23" w:rsidRDefault="00764BD4" w:rsidP="00A527B4">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 xml:space="preserve">לעניין </w:t>
      </w:r>
      <w:r w:rsidR="005A37E2">
        <w:rPr>
          <w:rFonts w:ascii="David" w:eastAsia="Calibri" w:hAnsi="David" w:hint="cs"/>
          <w:rtl/>
        </w:rPr>
        <w:t xml:space="preserve">התמשכות ההליכים </w:t>
      </w:r>
      <w:r>
        <w:rPr>
          <w:rFonts w:ascii="David" w:eastAsia="Calibri" w:hAnsi="David"/>
          <w:rtl/>
        </w:rPr>
        <w:t>עמדה ב"כ המאשי</w:t>
      </w:r>
      <w:r w:rsidR="005A37E2">
        <w:rPr>
          <w:rFonts w:ascii="David" w:eastAsia="Calibri" w:hAnsi="David"/>
          <w:rtl/>
        </w:rPr>
        <w:t>מה, ובהרחבה, על השתלשלות ה</w:t>
      </w:r>
      <w:r w:rsidR="005A37E2">
        <w:rPr>
          <w:rFonts w:ascii="David" w:eastAsia="Calibri" w:hAnsi="David" w:hint="cs"/>
          <w:rtl/>
        </w:rPr>
        <w:t>עניינים</w:t>
      </w:r>
      <w:r>
        <w:rPr>
          <w:rFonts w:ascii="David" w:eastAsia="Calibri" w:hAnsi="David"/>
          <w:rtl/>
        </w:rPr>
        <w:t xml:space="preserve"> מאז </w:t>
      </w:r>
      <w:r w:rsidR="00A527B4">
        <w:rPr>
          <w:rFonts w:ascii="David" w:eastAsia="Calibri" w:hAnsi="David" w:hint="cs"/>
          <w:rtl/>
        </w:rPr>
        <w:t xml:space="preserve">שהוגש </w:t>
      </w:r>
      <w:r>
        <w:rPr>
          <w:rFonts w:ascii="David" w:eastAsia="Calibri" w:hAnsi="David"/>
          <w:rtl/>
        </w:rPr>
        <w:t xml:space="preserve">כתב האישום – ובפרט על בקשות הדחייה המרובות </w:t>
      </w:r>
      <w:r w:rsidR="005A37E2">
        <w:rPr>
          <w:rFonts w:ascii="David" w:eastAsia="Calibri" w:hAnsi="David" w:hint="cs"/>
          <w:rtl/>
        </w:rPr>
        <w:t xml:space="preserve">של ההגנה, </w:t>
      </w:r>
      <w:r>
        <w:rPr>
          <w:rFonts w:ascii="David" w:eastAsia="Calibri" w:hAnsi="David"/>
          <w:rtl/>
        </w:rPr>
        <w:t>מטע</w:t>
      </w:r>
      <w:r w:rsidR="005A37E2">
        <w:rPr>
          <w:rFonts w:ascii="David" w:eastAsia="Calibri" w:hAnsi="David" w:hint="cs"/>
          <w:rtl/>
        </w:rPr>
        <w:t>מי</w:t>
      </w:r>
      <w:r>
        <w:rPr>
          <w:rFonts w:ascii="David" w:eastAsia="Calibri" w:hAnsi="David"/>
          <w:rtl/>
        </w:rPr>
        <w:t xml:space="preserve">ם </w:t>
      </w:r>
      <w:r w:rsidR="005A37E2">
        <w:rPr>
          <w:rFonts w:ascii="David" w:eastAsia="Calibri" w:hAnsi="David" w:hint="cs"/>
          <w:rtl/>
        </w:rPr>
        <w:t xml:space="preserve">שונים, וכן על </w:t>
      </w:r>
      <w:r>
        <w:rPr>
          <w:rFonts w:ascii="David" w:eastAsia="Calibri" w:hAnsi="David"/>
          <w:rtl/>
        </w:rPr>
        <w:t>הע</w:t>
      </w:r>
      <w:r w:rsidR="005A37E2">
        <w:rPr>
          <w:rFonts w:ascii="David" w:eastAsia="Calibri" w:hAnsi="David"/>
          <w:rtl/>
        </w:rPr>
        <w:t>יכובים שנגרמו בניהול פרשת ההגנה</w:t>
      </w:r>
      <w:r>
        <w:rPr>
          <w:rFonts w:ascii="David" w:eastAsia="Calibri" w:hAnsi="David"/>
          <w:rtl/>
        </w:rPr>
        <w:t xml:space="preserve"> בין השאר בשל הטענה המאוחרת לאי כשירות נפשית </w:t>
      </w:r>
      <w:r w:rsidR="005A37E2">
        <w:rPr>
          <w:rFonts w:ascii="David" w:eastAsia="Calibri" w:hAnsi="David" w:hint="cs"/>
          <w:rtl/>
        </w:rPr>
        <w:t xml:space="preserve">של הנאשם </w:t>
      </w:r>
      <w:r>
        <w:rPr>
          <w:rFonts w:ascii="David" w:eastAsia="Calibri" w:hAnsi="David"/>
          <w:rtl/>
        </w:rPr>
        <w:t>– ו</w:t>
      </w:r>
      <w:r w:rsidR="005A37E2">
        <w:rPr>
          <w:rFonts w:ascii="David" w:eastAsia="Calibri" w:hAnsi="David" w:hint="cs"/>
          <w:rtl/>
        </w:rPr>
        <w:t xml:space="preserve">בנסיבות אלה טענה כי </w:t>
      </w:r>
      <w:r>
        <w:rPr>
          <w:rFonts w:ascii="David" w:eastAsia="Calibri" w:hAnsi="David"/>
          <w:rtl/>
        </w:rPr>
        <w:t>התמשכות ההליכים</w:t>
      </w:r>
      <w:r w:rsidR="00885C23">
        <w:rPr>
          <w:rFonts w:ascii="David" w:eastAsia="Calibri" w:hAnsi="David" w:hint="cs"/>
          <w:rtl/>
        </w:rPr>
        <w:t xml:space="preserve"> אינה לפתחה של המאשימה</w:t>
      </w:r>
      <w:r>
        <w:rPr>
          <w:rFonts w:ascii="David" w:eastAsia="Calibri" w:hAnsi="David"/>
          <w:rtl/>
        </w:rPr>
        <w:t xml:space="preserve"> (בפ</w:t>
      </w:r>
      <w:r w:rsidR="00885C23">
        <w:rPr>
          <w:rFonts w:ascii="David" w:eastAsia="Calibri" w:hAnsi="David"/>
          <w:rtl/>
        </w:rPr>
        <w:t>רוטוקול, עמ' 446 שורה 2 ואילך).</w:t>
      </w:r>
    </w:p>
    <w:p w:rsidR="00764BD4" w:rsidRPr="00885C23" w:rsidRDefault="00764BD4" w:rsidP="00915F69">
      <w:pPr>
        <w:numPr>
          <w:ilvl w:val="0"/>
          <w:numId w:val="3"/>
        </w:numPr>
        <w:tabs>
          <w:tab w:val="num" w:pos="720"/>
        </w:tabs>
        <w:spacing w:after="120" w:line="360" w:lineRule="auto"/>
        <w:ind w:left="720"/>
        <w:jc w:val="both"/>
        <w:rPr>
          <w:rFonts w:ascii="David" w:eastAsia="Calibri" w:hAnsi="David"/>
        </w:rPr>
      </w:pPr>
      <w:r w:rsidRPr="00885C23">
        <w:rPr>
          <w:rFonts w:ascii="David" w:eastAsia="Calibri" w:hAnsi="David"/>
          <w:rtl/>
        </w:rPr>
        <w:t xml:space="preserve">אשר לנסיבותיו האישיות של הנאשם, כמו גם העדר עבר פלילי רלוואנטי, הוסיפה ב"כ המאשימה והפנתה להלכה הפסוקה שלפיה בעבירות כלכליות הנסיבות האישיות נסוגות </w:t>
      </w:r>
      <w:r w:rsidRPr="00885C23">
        <w:rPr>
          <w:rFonts w:ascii="David" w:eastAsia="Calibri" w:hAnsi="David"/>
          <w:rtl/>
        </w:rPr>
        <w:lastRenderedPageBreak/>
        <w:t>מפני האינטרס הציבורי והצורך בהרתעה. עוד טענה</w:t>
      </w:r>
      <w:r w:rsidR="00915F69">
        <w:rPr>
          <w:rFonts w:ascii="David" w:eastAsia="Calibri" w:hAnsi="David" w:hint="cs"/>
          <w:rtl/>
        </w:rPr>
        <w:t xml:space="preserve"> ב"כ המאשימה</w:t>
      </w:r>
      <w:r w:rsidRPr="00885C23">
        <w:rPr>
          <w:rFonts w:ascii="David" w:eastAsia="Calibri" w:hAnsi="David"/>
          <w:rtl/>
        </w:rPr>
        <w:t>, ל</w:t>
      </w:r>
      <w:r w:rsidR="00915F69">
        <w:rPr>
          <w:rFonts w:ascii="David" w:eastAsia="Calibri" w:hAnsi="David" w:hint="cs"/>
          <w:rtl/>
        </w:rPr>
        <w:t xml:space="preserve">עניין </w:t>
      </w:r>
      <w:r w:rsidRPr="00885C23">
        <w:rPr>
          <w:rFonts w:ascii="David" w:eastAsia="Calibri" w:hAnsi="David"/>
          <w:rtl/>
        </w:rPr>
        <w:t>מצבו הכלכלי הנו</w:t>
      </w:r>
      <w:r w:rsidR="00915F69">
        <w:rPr>
          <w:rFonts w:ascii="David" w:eastAsia="Calibri" w:hAnsi="David"/>
          <w:rtl/>
        </w:rPr>
        <w:t>כחי של הנאשם, כי מצב זה צ</w:t>
      </w:r>
      <w:r w:rsidRPr="00885C23">
        <w:rPr>
          <w:rFonts w:ascii="David" w:eastAsia="Calibri" w:hAnsi="David"/>
          <w:rtl/>
        </w:rPr>
        <w:t>ר</w:t>
      </w:r>
      <w:r w:rsidR="00915F69">
        <w:rPr>
          <w:rFonts w:ascii="David" w:eastAsia="Calibri" w:hAnsi="David" w:hint="cs"/>
          <w:rtl/>
        </w:rPr>
        <w:t>י</w:t>
      </w:r>
      <w:r w:rsidRPr="00885C23">
        <w:rPr>
          <w:rFonts w:ascii="David" w:eastAsia="Calibri" w:hAnsi="David"/>
          <w:rtl/>
        </w:rPr>
        <w:t xml:space="preserve">ך להידחק לקרן פינה כאשר עסקינן בעבירות שנעברו ממניע כלכלי. ב"כ המאשימה </w:t>
      </w:r>
      <w:r w:rsidR="00915F69">
        <w:rPr>
          <w:rFonts w:ascii="David" w:eastAsia="Calibri" w:hAnsi="David" w:hint="cs"/>
          <w:rtl/>
        </w:rPr>
        <w:t xml:space="preserve">עתרה אפוא </w:t>
      </w:r>
      <w:r w:rsidRPr="00885C23">
        <w:rPr>
          <w:rFonts w:ascii="David" w:eastAsia="Calibri" w:hAnsi="David"/>
          <w:rtl/>
        </w:rPr>
        <w:t>לקביעת מתחם עונש הולם כפי טיעוניה, ולגזירת עונשו של הנא</w:t>
      </w:r>
      <w:r w:rsidR="00F1712F" w:rsidRPr="00885C23">
        <w:rPr>
          <w:rFonts w:ascii="David" w:eastAsia="Calibri" w:hAnsi="David"/>
          <w:rtl/>
        </w:rPr>
        <w:t>שם ברף העליון של המתחם לו טענה</w:t>
      </w:r>
      <w:r w:rsidR="00F1712F" w:rsidRPr="00885C23">
        <w:rPr>
          <w:rFonts w:ascii="David" w:eastAsia="Calibri" w:hAnsi="David" w:hint="cs"/>
          <w:rtl/>
        </w:rPr>
        <w:t xml:space="preserve"> </w:t>
      </w:r>
      <w:r w:rsidR="00F1712F" w:rsidRPr="00885C23">
        <w:rPr>
          <w:rFonts w:ascii="David" w:eastAsia="Calibri" w:hAnsi="David"/>
          <w:rtl/>
        </w:rPr>
        <w:t>–</w:t>
      </w:r>
      <w:r w:rsidR="00F1712F" w:rsidRPr="00885C23">
        <w:rPr>
          <w:rFonts w:ascii="David" w:eastAsia="Calibri" w:hAnsi="David" w:hint="cs"/>
          <w:rtl/>
        </w:rPr>
        <w:t xml:space="preserve"> דהיינו 54 חודשי מאסר בפועל </w:t>
      </w:r>
      <w:r w:rsidR="00F1712F" w:rsidRPr="00885C23">
        <w:rPr>
          <w:rFonts w:ascii="David" w:eastAsia="Calibri" w:hAnsi="David"/>
          <w:rtl/>
        </w:rPr>
        <w:t>–</w:t>
      </w:r>
      <w:r w:rsidR="00F1712F" w:rsidRPr="00885C23">
        <w:rPr>
          <w:rFonts w:ascii="David" w:eastAsia="Calibri" w:hAnsi="David" w:hint="cs"/>
          <w:rtl/>
        </w:rPr>
        <w:t xml:space="preserve"> </w:t>
      </w:r>
      <w:r w:rsidRPr="00885C23">
        <w:rPr>
          <w:rFonts w:ascii="David" w:eastAsia="Calibri" w:hAnsi="David"/>
          <w:rtl/>
        </w:rPr>
        <w:t>תוך השתת ענישה נלווית של מאסר מותנה וקנס כספי משמעותי ומרתיע.</w:t>
      </w:r>
    </w:p>
    <w:p w:rsidR="00764BD4" w:rsidRDefault="00764BD4" w:rsidP="00764BD4">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ב"כ הנאשם, מצידו, הגיש כאמור קלסר מסמכים (ס/1), שבו כלל גם הפניות לפסיקה, ובנוסף הגיש טבלת פסיקה (ר' בתיקיית הסיכומים, הגם שיש להעיר כי מדובר באסמכתאות שרובן ישנות למדי). את טיעוניו פתח הסניגור בהתייחסות מפורטת להוראות סעיף 40יא לחוק העונשין, תשל"ז-1977 (להלן – חוק העונשין), שעניינן בהגדרת נסי</w:t>
      </w:r>
      <w:r w:rsidR="00915F69">
        <w:rPr>
          <w:rFonts w:ascii="David" w:eastAsia="Calibri" w:hAnsi="David"/>
          <w:rtl/>
        </w:rPr>
        <w:t>בות שאינן קשורות לביצוע העבירות</w:t>
      </w:r>
      <w:r>
        <w:rPr>
          <w:rFonts w:ascii="David" w:eastAsia="Calibri" w:hAnsi="David"/>
          <w:rtl/>
        </w:rPr>
        <w:t xml:space="preserve"> לצורך גזירת עונשו של הנאשם בתוך מתחם העונש ההולם. ב"כ הנאשם הדגיש, בהקשר זה, את העדר העבר הפלילי של הנאשם, וטען כי הנאשם שיתף פעולה עם רשויות אכיפת החוק הן בחקירה והן במשפט, בכך ש"</w:t>
      </w:r>
      <w:r>
        <w:rPr>
          <w:rFonts w:ascii="David" w:eastAsia="Calibri" w:hAnsi="David"/>
          <w:b/>
          <w:bCs/>
          <w:rtl/>
        </w:rPr>
        <w:t>מסר כי הוא לוקח אחריות מלאה על העובדות דהיינו על סכומי המס שלא הועברו לרשות המס</w:t>
      </w:r>
      <w:r>
        <w:rPr>
          <w:rFonts w:ascii="David" w:eastAsia="Calibri" w:hAnsi="David"/>
          <w:rtl/>
        </w:rPr>
        <w:t>" (בפרוטוקול, עמ' 450 שורה 17 ואילך).</w:t>
      </w:r>
    </w:p>
    <w:p w:rsidR="00764BD4" w:rsidRDefault="00764BD4" w:rsidP="00915F69">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 xml:space="preserve">ב"כ הנאשם תיאר את הקריסה הכלכלית של הנאשם, לאחר החקירה, וטען כי על רקע זה נפרד הנאשם מזוגתו (אם שני ילדיו) וחזר להתגורר בבית הוריו, בתנאי דחק </w:t>
      </w:r>
      <w:r w:rsidR="00915F69">
        <w:rPr>
          <w:rFonts w:ascii="David" w:eastAsia="Calibri" w:hAnsi="David" w:hint="cs"/>
          <w:rtl/>
        </w:rPr>
        <w:t xml:space="preserve">קשים </w:t>
      </w:r>
      <w:r>
        <w:rPr>
          <w:rFonts w:ascii="David" w:eastAsia="Calibri" w:hAnsi="David"/>
          <w:rtl/>
        </w:rPr>
        <w:t xml:space="preserve">(בפרוטוקול, עמ' 450 שורה 21 ואילך). עוד הרחיב ב"כ הנאשם בתיאור פרטי מצבו הרפואי הנפשי והפיסי של </w:t>
      </w:r>
      <w:r w:rsidR="00915F69">
        <w:rPr>
          <w:rFonts w:ascii="David" w:eastAsia="Calibri" w:hAnsi="David" w:hint="cs"/>
          <w:rtl/>
        </w:rPr>
        <w:t>מרשו</w:t>
      </w:r>
      <w:r w:rsidR="00915F69">
        <w:rPr>
          <w:rFonts w:ascii="David" w:eastAsia="Calibri" w:hAnsi="David"/>
          <w:rtl/>
        </w:rPr>
        <w:t xml:space="preserve">, הנכות הכללית </w:t>
      </w:r>
      <w:r>
        <w:rPr>
          <w:rFonts w:ascii="David" w:eastAsia="Calibri" w:hAnsi="David"/>
          <w:rtl/>
        </w:rPr>
        <w:t xml:space="preserve">ממנה הוא סובל והטיפולים הרפואיים </w:t>
      </w:r>
      <w:r w:rsidR="00915F69">
        <w:rPr>
          <w:rFonts w:ascii="David" w:eastAsia="Calibri" w:hAnsi="David" w:hint="cs"/>
          <w:rtl/>
        </w:rPr>
        <w:t xml:space="preserve">הרבים </w:t>
      </w:r>
      <w:r>
        <w:rPr>
          <w:rFonts w:ascii="David" w:eastAsia="Calibri" w:hAnsi="David"/>
          <w:rtl/>
        </w:rPr>
        <w:t>הנדרשים לו (שם, בעמ' 458-451). הסניגור הוסיף וטען כי, בנסיבות אלה, אם חלילה ייגזר על הנאשם עונש של מאסר בפועל, לנשיאה מאחורי סורג ובריח, עלולה להיווצר סכנה ברורה ומידית לחייו. עוד הטעים הסניגור כי מעשיו הטובים של הנאשם ותרומותיו לחברה – כפי שבאו לידי ביטוי בעדי האופי הרבים שהתייצבו בבית המשפט והעידו לטובת הנאשם – צריכים להיזקף לזכותו בעת גזירת הדין.</w:t>
      </w:r>
    </w:p>
    <w:p w:rsidR="00764BD4" w:rsidRDefault="00764BD4" w:rsidP="00764BD4">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אשר לסוגיית המחדל הדגיש ב"כ הנאשם את מצבו הכלכלי הקשה של הנאשם, שלא בכדי הוצא בעניינו צו כינוס. כאמור, ב"כ הנאשם גם טען כי הפירות העתידיים של הליכי הכינוס, כתוצאה ממכירת שני הנכסים שבהם לנאשם זכויות, "</w:t>
      </w:r>
      <w:r w:rsidRPr="00885C23">
        <w:rPr>
          <w:rFonts w:ascii="David" w:eastAsia="Calibri" w:hAnsi="David"/>
          <w:b/>
          <w:bCs/>
          <w:u w:val="single"/>
          <w:rtl/>
        </w:rPr>
        <w:t>יוכלו</w:t>
      </w:r>
      <w:r>
        <w:rPr>
          <w:rFonts w:ascii="David" w:eastAsia="Calibri" w:hAnsi="David"/>
          <w:b/>
          <w:bCs/>
          <w:rtl/>
        </w:rPr>
        <w:t xml:space="preserve"> להוות הסרת מחדל בצורה מאוד מאוד מהותית</w:t>
      </w:r>
      <w:r>
        <w:rPr>
          <w:rFonts w:ascii="David" w:eastAsia="Calibri" w:hAnsi="David"/>
          <w:rtl/>
        </w:rPr>
        <w:t>" (בפרוטוקול, עמ' 460 שורה 24 ואילך). לשיטת ההגנה יש אפוא לראות בנאשם כמי שהסיר את מחדלו ו</w:t>
      </w:r>
      <w:r w:rsidR="00915F69">
        <w:rPr>
          <w:rFonts w:ascii="David" w:eastAsia="Calibri" w:hAnsi="David" w:hint="cs"/>
          <w:rtl/>
        </w:rPr>
        <w:t>ל</w:t>
      </w:r>
      <w:r>
        <w:rPr>
          <w:rFonts w:ascii="David" w:eastAsia="Calibri" w:hAnsi="David"/>
          <w:rtl/>
        </w:rPr>
        <w:t xml:space="preserve">התחשב בכך </w:t>
      </w:r>
      <w:r w:rsidR="00915F69">
        <w:rPr>
          <w:rFonts w:ascii="David" w:eastAsia="Calibri" w:hAnsi="David" w:hint="cs"/>
          <w:rtl/>
        </w:rPr>
        <w:t xml:space="preserve">מהותית </w:t>
      </w:r>
      <w:r>
        <w:rPr>
          <w:rFonts w:ascii="David" w:eastAsia="Calibri" w:hAnsi="David"/>
          <w:rtl/>
        </w:rPr>
        <w:t>לקולת העונש, בהתאם. עוד ציין ב"כ הנאשם את חלוף הזמן הממושך מאז ביצוע העבירות, ובמכלול הנסיבות עתר לגזירת עונש לתקופה שניתן יהיה לשאתה בדרך של עבודות שירות.</w:t>
      </w:r>
    </w:p>
    <w:p w:rsidR="00764BD4" w:rsidRDefault="00764BD4" w:rsidP="00764BD4">
      <w:pPr>
        <w:numPr>
          <w:ilvl w:val="0"/>
          <w:numId w:val="3"/>
        </w:numPr>
        <w:tabs>
          <w:tab w:val="num" w:pos="720"/>
        </w:tabs>
        <w:spacing w:after="120" w:line="360" w:lineRule="auto"/>
        <w:ind w:left="720"/>
        <w:jc w:val="both"/>
        <w:rPr>
          <w:rFonts w:ascii="David" w:eastAsia="Calibri" w:hAnsi="David"/>
        </w:rPr>
      </w:pPr>
      <w:r>
        <w:rPr>
          <w:rFonts w:ascii="David" w:eastAsia="Calibri" w:hAnsi="David"/>
          <w:rtl/>
        </w:rPr>
        <w:t>בהקשר זה הפנה הסניגור לפסיקה, כאמור ישנה ברובה ומלפני כנ</w:t>
      </w:r>
      <w:r w:rsidR="00915F69">
        <w:rPr>
          <w:rFonts w:ascii="David" w:eastAsia="Calibri" w:hAnsi="David"/>
          <w:rtl/>
        </w:rPr>
        <w:t>יסת תיקון 113 לחוק העונשין לתוק</w:t>
      </w:r>
      <w:r w:rsidR="00915F69">
        <w:rPr>
          <w:rFonts w:ascii="David" w:eastAsia="Calibri" w:hAnsi="David" w:hint="cs"/>
          <w:rtl/>
        </w:rPr>
        <w:t>פו</w:t>
      </w:r>
      <w:r>
        <w:rPr>
          <w:rFonts w:ascii="David" w:eastAsia="Calibri" w:hAnsi="David"/>
          <w:rtl/>
        </w:rPr>
        <w:t xml:space="preserve"> (ר' למשל רע"פ 7814/05 </w:t>
      </w:r>
      <w:r>
        <w:rPr>
          <w:rFonts w:ascii="David" w:eastAsia="Calibri" w:hAnsi="David"/>
          <w:b/>
          <w:bCs/>
          <w:rtl/>
        </w:rPr>
        <w:t>שוב נ' מדינת ישראל</w:t>
      </w:r>
      <w:r>
        <w:rPr>
          <w:rFonts w:ascii="David" w:eastAsia="Calibri" w:hAnsi="David"/>
          <w:rtl/>
        </w:rPr>
        <w:t xml:space="preserve"> (24.01.2006), שעניינו בסכומים נמוכים מבענייננו). </w:t>
      </w:r>
      <w:r w:rsidR="00915F69">
        <w:rPr>
          <w:rFonts w:ascii="David" w:eastAsia="Calibri" w:hAnsi="David" w:hint="cs"/>
          <w:rtl/>
        </w:rPr>
        <w:t xml:space="preserve">מכל מקום, </w:t>
      </w:r>
      <w:r>
        <w:rPr>
          <w:rFonts w:ascii="David" w:eastAsia="Calibri" w:hAnsi="David"/>
          <w:rtl/>
        </w:rPr>
        <w:t>בסיכומו של דבר עתר הסניגור לקביעת מתחם עונש הולם שבין 6 חודשי מאסר בפועל, לנשיאה בדרך של עבודות שירות, לבין 18 חודשי מאסר בפועל; ולגזירת עונשו של הנאשם ברף התחתון של מתחם עונש זה.</w:t>
      </w:r>
    </w:p>
    <w:p w:rsidR="00764BD4" w:rsidRDefault="00764BD4" w:rsidP="00734233">
      <w:pPr>
        <w:numPr>
          <w:ilvl w:val="0"/>
          <w:numId w:val="3"/>
        </w:numPr>
        <w:tabs>
          <w:tab w:val="num" w:pos="720"/>
        </w:tabs>
        <w:spacing w:after="120" w:line="360" w:lineRule="auto"/>
        <w:ind w:left="720"/>
        <w:jc w:val="both"/>
        <w:rPr>
          <w:rFonts w:ascii="David" w:eastAsia="Calibri" w:hAnsi="David"/>
        </w:rPr>
      </w:pPr>
      <w:r>
        <w:rPr>
          <w:rFonts w:ascii="David" w:eastAsia="Calibri" w:hAnsi="David"/>
          <w:rtl/>
        </w:rPr>
        <w:lastRenderedPageBreak/>
        <w:t xml:space="preserve">לבסוף הנאשם, שבחר לשאת דברים, הרחיב מאוד בדברו האחרון לעונש תוך </w:t>
      </w:r>
      <w:r w:rsidR="00915F69">
        <w:rPr>
          <w:rFonts w:ascii="David" w:eastAsia="Calibri" w:hAnsi="David"/>
          <w:rtl/>
        </w:rPr>
        <w:t>תיאור העזרה שהושיט בעבר לאחרים</w:t>
      </w:r>
      <w:r w:rsidR="00915F69">
        <w:rPr>
          <w:rFonts w:ascii="David" w:eastAsia="Calibri" w:hAnsi="David" w:hint="cs"/>
          <w:rtl/>
        </w:rPr>
        <w:t xml:space="preserve">, </w:t>
      </w:r>
      <w:r>
        <w:rPr>
          <w:rFonts w:ascii="David" w:eastAsia="Calibri" w:hAnsi="David"/>
          <w:rtl/>
        </w:rPr>
        <w:t xml:space="preserve">התרומות שתרם </w:t>
      </w:r>
      <w:r w:rsidR="00915F69">
        <w:rPr>
          <w:rFonts w:ascii="David" w:eastAsia="Calibri" w:hAnsi="David" w:hint="cs"/>
          <w:rtl/>
        </w:rPr>
        <w:t>והקשיים הרבים עמם הוא מתמודד כ</w:t>
      </w:r>
      <w:r w:rsidR="00734233">
        <w:rPr>
          <w:rFonts w:ascii="David" w:eastAsia="Calibri" w:hAnsi="David" w:hint="cs"/>
          <w:rtl/>
        </w:rPr>
        <w:t xml:space="preserve">יום </w:t>
      </w:r>
      <w:r>
        <w:rPr>
          <w:rFonts w:ascii="David" w:hAnsi="David"/>
          <w:rtl/>
        </w:rPr>
        <w:t>(בפרוטוקול, עמ' 469-465).</w:t>
      </w:r>
      <w:r>
        <w:rPr>
          <w:rFonts w:ascii="David" w:eastAsia="Calibri" w:hAnsi="David"/>
          <w:rtl/>
        </w:rPr>
        <w:t xml:space="preserve"> ע</w:t>
      </w:r>
      <w:r w:rsidR="00734233">
        <w:rPr>
          <w:rFonts w:ascii="David" w:eastAsia="Calibri" w:hAnsi="David"/>
          <w:rtl/>
        </w:rPr>
        <w:t xml:space="preserve">ל אף טיעוני הסניגור בדבר נטילת </w:t>
      </w:r>
      <w:r>
        <w:rPr>
          <w:rFonts w:ascii="David" w:eastAsia="Calibri" w:hAnsi="David"/>
          <w:rtl/>
        </w:rPr>
        <w:t xml:space="preserve">אחריות </w:t>
      </w:r>
      <w:r w:rsidR="00734233">
        <w:rPr>
          <w:rFonts w:ascii="David" w:eastAsia="Calibri" w:hAnsi="David" w:hint="cs"/>
          <w:rtl/>
        </w:rPr>
        <w:t xml:space="preserve">מצד הנאשם </w:t>
      </w:r>
      <w:r>
        <w:rPr>
          <w:rFonts w:ascii="David" w:eastAsia="Calibri" w:hAnsi="David"/>
          <w:rtl/>
        </w:rPr>
        <w:t xml:space="preserve">שב </w:t>
      </w:r>
      <w:r w:rsidR="00734233">
        <w:rPr>
          <w:rFonts w:ascii="David" w:eastAsia="Calibri" w:hAnsi="David" w:hint="cs"/>
          <w:rtl/>
        </w:rPr>
        <w:t xml:space="preserve">הלה </w:t>
      </w:r>
      <w:r>
        <w:rPr>
          <w:rFonts w:ascii="David" w:eastAsia="Calibri" w:hAnsi="David"/>
          <w:rtl/>
        </w:rPr>
        <w:t>והכחיש את ביצוע העבירות, תוך מזעור מעשיו לכדי טעויות או רשלנות גרידא (בפ</w:t>
      </w:r>
      <w:r w:rsidR="00734233">
        <w:rPr>
          <w:rFonts w:ascii="David" w:eastAsia="Calibri" w:hAnsi="David"/>
          <w:rtl/>
        </w:rPr>
        <w:t>רוטוקול, עמ' 465 שורה 20 ואילך)</w:t>
      </w:r>
      <w:r w:rsidR="00734233">
        <w:rPr>
          <w:rFonts w:ascii="David" w:eastAsia="Calibri" w:hAnsi="David" w:hint="cs"/>
          <w:rtl/>
        </w:rPr>
        <w:t>.</w:t>
      </w:r>
      <w:r>
        <w:rPr>
          <w:rFonts w:ascii="David" w:eastAsia="Calibri" w:hAnsi="David"/>
          <w:rtl/>
        </w:rPr>
        <w:t xml:space="preserve"> </w:t>
      </w:r>
      <w:r w:rsidR="00734233">
        <w:rPr>
          <w:rFonts w:ascii="David" w:eastAsia="Calibri" w:hAnsi="David"/>
          <w:rtl/>
        </w:rPr>
        <w:t xml:space="preserve">יוער, כי גם הודאה </w:t>
      </w:r>
      <w:r w:rsidR="00734233">
        <w:rPr>
          <w:rFonts w:ascii="David" w:eastAsia="Calibri" w:hAnsi="David" w:hint="cs"/>
          <w:rtl/>
        </w:rPr>
        <w:t xml:space="preserve">זו </w:t>
      </w:r>
      <w:r w:rsidR="00734233">
        <w:rPr>
          <w:rFonts w:ascii="David" w:eastAsia="Calibri" w:hAnsi="David"/>
          <w:rtl/>
        </w:rPr>
        <w:t>סייג הנאשם למעין ה</w:t>
      </w:r>
      <w:r w:rsidR="00734233">
        <w:rPr>
          <w:rFonts w:ascii="David" w:eastAsia="Calibri" w:hAnsi="David" w:hint="cs"/>
          <w:rtl/>
        </w:rPr>
        <w:t>בנה</w:t>
      </w:r>
      <w:r w:rsidR="00734233">
        <w:rPr>
          <w:rFonts w:ascii="David" w:eastAsia="Calibri" w:hAnsi="David"/>
          <w:rtl/>
        </w:rPr>
        <w:t>-</w:t>
      </w:r>
      <w:r w:rsidR="00734233">
        <w:rPr>
          <w:rFonts w:ascii="David" w:eastAsia="Calibri" w:hAnsi="David" w:hint="cs"/>
          <w:rtl/>
        </w:rPr>
        <w:t>ש</w:t>
      </w:r>
      <w:r w:rsidR="00734233">
        <w:rPr>
          <w:rFonts w:ascii="David" w:eastAsia="Calibri" w:hAnsi="David"/>
          <w:rtl/>
        </w:rPr>
        <w:t>בדיעבד, לטענתו לאחר שעורך דינו והוריו שוחחו עמו והסבירו לו את הדברים (שם, עמ' 466 שורה 6 ואילך).</w:t>
      </w:r>
      <w:r w:rsidR="00734233">
        <w:rPr>
          <w:rFonts w:ascii="David" w:eastAsia="Calibri" w:hAnsi="David" w:hint="cs"/>
          <w:rtl/>
        </w:rPr>
        <w:t xml:space="preserve"> בנוסף, הנאשם שב וגלגל אחריות </w:t>
      </w:r>
      <w:r>
        <w:rPr>
          <w:rFonts w:ascii="David" w:eastAsia="Calibri" w:hAnsi="David"/>
          <w:rtl/>
        </w:rPr>
        <w:t xml:space="preserve">לפתחם של גורמים שלישיים (שם, שורה 30 ואילך, וכן בעמ' 468 שורה 30 ואילך). </w:t>
      </w:r>
    </w:p>
    <w:p w:rsidR="00764BD4" w:rsidRDefault="00734233" w:rsidP="00734233">
      <w:pPr>
        <w:numPr>
          <w:ilvl w:val="0"/>
          <w:numId w:val="3"/>
        </w:numPr>
        <w:tabs>
          <w:tab w:val="num" w:pos="720"/>
        </w:tabs>
        <w:spacing w:after="120" w:line="360" w:lineRule="auto"/>
        <w:ind w:left="720"/>
        <w:jc w:val="both"/>
        <w:rPr>
          <w:rFonts w:ascii="David" w:eastAsia="Calibri" w:hAnsi="David"/>
        </w:rPr>
      </w:pPr>
      <w:r>
        <w:rPr>
          <w:rFonts w:ascii="David" w:eastAsia="Calibri" w:hAnsi="David" w:hint="cs"/>
          <w:rtl/>
        </w:rPr>
        <w:t xml:space="preserve">אשר למחדל הדגיש </w:t>
      </w:r>
      <w:r w:rsidR="00764BD4">
        <w:rPr>
          <w:rFonts w:ascii="David" w:eastAsia="Calibri" w:hAnsi="David"/>
          <w:rtl/>
        </w:rPr>
        <w:t>הנאשם כי בכוונתו להחזיר את חובותיו למדינה "</w:t>
      </w:r>
      <w:r w:rsidR="00764BD4">
        <w:rPr>
          <w:rFonts w:ascii="David" w:eastAsia="Calibri" w:hAnsi="David"/>
          <w:b/>
          <w:bCs/>
          <w:rtl/>
        </w:rPr>
        <w:t>עד השקל האחרון</w:t>
      </w:r>
      <w:r w:rsidR="00764BD4">
        <w:rPr>
          <w:rFonts w:ascii="David" w:eastAsia="Calibri" w:hAnsi="David"/>
          <w:rtl/>
        </w:rPr>
        <w:t>", הגם ש</w:t>
      </w:r>
      <w:r>
        <w:rPr>
          <w:rFonts w:ascii="David" w:eastAsia="Calibri" w:hAnsi="David" w:hint="cs"/>
          <w:rtl/>
        </w:rPr>
        <w:t xml:space="preserve">בד בבד </w:t>
      </w:r>
      <w:r w:rsidR="00764BD4">
        <w:rPr>
          <w:rFonts w:ascii="David" w:eastAsia="Calibri" w:hAnsi="David"/>
          <w:rtl/>
        </w:rPr>
        <w:t>הוסיף ותיאר את מצבו הכלכלי ה</w:t>
      </w:r>
      <w:r>
        <w:rPr>
          <w:rFonts w:ascii="David" w:eastAsia="Calibri" w:hAnsi="David" w:hint="cs"/>
          <w:rtl/>
        </w:rPr>
        <w:t xml:space="preserve">דחוק </w:t>
      </w:r>
      <w:r w:rsidR="00764BD4">
        <w:rPr>
          <w:rFonts w:ascii="David" w:eastAsia="Calibri" w:hAnsi="David"/>
          <w:rtl/>
        </w:rPr>
        <w:t xml:space="preserve">תוך הבעת תקווה כי תמורת מכירת הנכסים אמנם תביא לכיסוי חובותיו לרשות המיסים (שם, בעמ' 468 שורה 9 ואילך). עוד הרחיב הנאשם בתיאור הקשיים הרבים עמם הוא מתמודד </w:t>
      </w:r>
      <w:r>
        <w:rPr>
          <w:rFonts w:ascii="David" w:eastAsia="Calibri" w:hAnsi="David" w:hint="cs"/>
          <w:rtl/>
        </w:rPr>
        <w:t xml:space="preserve">כיום </w:t>
      </w:r>
      <w:r w:rsidR="00764BD4">
        <w:rPr>
          <w:rFonts w:ascii="David" w:eastAsia="Calibri" w:hAnsi="David"/>
          <w:rtl/>
        </w:rPr>
        <w:t>במישור הבריאותי, הן הפיסי והן הנפשי, והטיפול התרופתי המקיף לו הוא נזקק עקב כך. בין השאר תיאר הנאשם את הפיגוע, לו היה עד בשנת 2002, והמראות הקשים אליהם נחשף אז (שם, עמ' 467 שורה 17 ואילך).</w:t>
      </w:r>
    </w:p>
    <w:p w:rsidR="00764BD4" w:rsidRDefault="00764BD4" w:rsidP="00627467">
      <w:pPr>
        <w:spacing w:after="120" w:line="360" w:lineRule="auto"/>
        <w:jc w:val="both"/>
        <w:rPr>
          <w:rFonts w:ascii="Tahoma" w:hAnsi="Tahoma"/>
          <w:rtl/>
        </w:rPr>
      </w:pPr>
    </w:p>
    <w:p w:rsidR="00764BD4" w:rsidRPr="00CD5C10" w:rsidRDefault="00F007AE" w:rsidP="00CE1F20">
      <w:pPr>
        <w:snapToGrid w:val="0"/>
        <w:spacing w:after="120" w:line="360" w:lineRule="auto"/>
        <w:jc w:val="both"/>
        <w:rPr>
          <w:b/>
          <w:bCs/>
          <w:u w:val="single"/>
          <w:rtl/>
        </w:rPr>
      </w:pPr>
      <w:r>
        <w:rPr>
          <w:rFonts w:hint="cs"/>
          <w:b/>
          <w:bCs/>
          <w:rtl/>
        </w:rPr>
        <w:t>ד</w:t>
      </w:r>
      <w:r w:rsidR="00764BD4" w:rsidRPr="00CD5C10">
        <w:rPr>
          <w:rFonts w:hint="cs"/>
          <w:b/>
          <w:bCs/>
          <w:rtl/>
        </w:rPr>
        <w:t>.</w:t>
      </w:r>
      <w:r w:rsidR="00764BD4" w:rsidRPr="00CD5C10">
        <w:rPr>
          <w:rFonts w:hint="cs"/>
          <w:b/>
          <w:bCs/>
          <w:rtl/>
        </w:rPr>
        <w:tab/>
      </w:r>
      <w:r w:rsidR="00764BD4" w:rsidRPr="00CD5C10">
        <w:rPr>
          <w:rFonts w:hint="cs"/>
          <w:b/>
          <w:bCs/>
          <w:u w:val="single"/>
          <w:rtl/>
        </w:rPr>
        <w:t>קביעת מתחם העונש ההולם:</w:t>
      </w:r>
    </w:p>
    <w:p w:rsidR="00DE3AE0" w:rsidRDefault="00F007AE" w:rsidP="00DE3AE0">
      <w:pPr>
        <w:numPr>
          <w:ilvl w:val="0"/>
          <w:numId w:val="3"/>
        </w:numPr>
        <w:tabs>
          <w:tab w:val="num" w:pos="720"/>
        </w:tabs>
        <w:spacing w:after="120" w:line="360" w:lineRule="auto"/>
        <w:ind w:left="720"/>
        <w:jc w:val="both"/>
        <w:rPr>
          <w:rFonts w:ascii="Tahoma" w:hAnsi="Tahoma"/>
        </w:rPr>
      </w:pPr>
      <w:r>
        <w:rPr>
          <w:rFonts w:hint="cs"/>
          <w:rtl/>
        </w:rPr>
        <w:t xml:space="preserve">בהתאם להוראות חוק העונשין, </w:t>
      </w:r>
      <w:r w:rsidR="00764BD4">
        <w:rPr>
          <w:rFonts w:hint="cs"/>
          <w:rtl/>
        </w:rPr>
        <w:t xml:space="preserve">בעת גזירת עונשו של נאשם על בית המשפט לקבוע, תחילה, את מתחם העונש ההולם לאירוע שבגינו הורשע הנאשם, וזאת בהתאם </w:t>
      </w:r>
      <w:r w:rsidR="00764BD4" w:rsidRPr="00004077">
        <w:rPr>
          <w:rFonts w:ascii="Tahoma" w:hAnsi="Tahoma" w:hint="cs"/>
          <w:rtl/>
        </w:rPr>
        <w:t>לעיקרון ה</w:t>
      </w:r>
      <w:r w:rsidR="00764BD4">
        <w:rPr>
          <w:rFonts w:ascii="Tahoma" w:hAnsi="Tahoma" w:hint="cs"/>
          <w:rtl/>
        </w:rPr>
        <w:t>הלימה. בהקשר זה</w:t>
      </w:r>
      <w:r w:rsidR="00764BD4" w:rsidRPr="00004077">
        <w:rPr>
          <w:rFonts w:ascii="Tahoma" w:hAnsi="Tahoma" w:hint="cs"/>
          <w:rtl/>
        </w:rPr>
        <w:t xml:space="preserve"> יתחשב בית המשפט, ב</w:t>
      </w:r>
      <w:r w:rsidR="00764BD4">
        <w:rPr>
          <w:rFonts w:ascii="Tahoma" w:hAnsi="Tahoma" w:hint="cs"/>
          <w:rtl/>
        </w:rPr>
        <w:t>ין השאר</w:t>
      </w:r>
      <w:r w:rsidR="00764BD4" w:rsidRPr="00004077">
        <w:rPr>
          <w:rFonts w:ascii="Tahoma" w:hAnsi="Tahoma" w:hint="cs"/>
          <w:rtl/>
        </w:rPr>
        <w:t xml:space="preserve">, </w:t>
      </w:r>
      <w:r w:rsidR="00764BD4">
        <w:rPr>
          <w:rFonts w:hint="cs"/>
          <w:rtl/>
        </w:rPr>
        <w:t>בערכים החברתיים שנפגעו מביצוע העבירות ובמידת הפגיעה בהם, במדיניות הענישה הנהוגה ובנסיבות הקשורות בביצוע העבירות</w:t>
      </w:r>
      <w:r>
        <w:rPr>
          <w:rFonts w:hint="cs"/>
          <w:rtl/>
        </w:rPr>
        <w:t>, לרבות אלה המנויות בהוראות סעיף 40ט לחוק העונשין</w:t>
      </w:r>
      <w:r w:rsidR="00764BD4">
        <w:rPr>
          <w:rFonts w:hint="cs"/>
          <w:rtl/>
        </w:rPr>
        <w:t>.</w:t>
      </w:r>
    </w:p>
    <w:p w:rsidR="00254ED0" w:rsidRDefault="00DE3AE0" w:rsidP="000F1FFA">
      <w:pPr>
        <w:numPr>
          <w:ilvl w:val="0"/>
          <w:numId w:val="3"/>
        </w:numPr>
        <w:tabs>
          <w:tab w:val="num" w:pos="720"/>
        </w:tabs>
        <w:spacing w:after="120" w:line="360" w:lineRule="auto"/>
        <w:ind w:left="720"/>
        <w:jc w:val="both"/>
        <w:rPr>
          <w:rFonts w:ascii="Tahoma" w:hAnsi="Tahoma"/>
        </w:rPr>
      </w:pPr>
      <w:r>
        <w:rPr>
          <w:rFonts w:ascii="David" w:eastAsia="Calibri" w:hAnsi="David" w:hint="cs"/>
          <w:rtl/>
        </w:rPr>
        <w:t xml:space="preserve">כפי שנפסק לא אחת, </w:t>
      </w:r>
      <w:r>
        <w:rPr>
          <w:rFonts w:ascii="David" w:eastAsia="Calibri" w:hAnsi="David"/>
          <w:rtl/>
        </w:rPr>
        <w:t>עבירות המס</w:t>
      </w:r>
      <w:r>
        <w:rPr>
          <w:rFonts w:ascii="David" w:eastAsia="Calibri" w:hAnsi="David" w:hint="cs"/>
          <w:rtl/>
        </w:rPr>
        <w:t xml:space="preserve"> הן עבירות חמורות, ש</w:t>
      </w:r>
      <w:r w:rsidRPr="00DE3AE0">
        <w:rPr>
          <w:rFonts w:ascii="David" w:eastAsia="Calibri" w:hAnsi="David"/>
          <w:rtl/>
        </w:rPr>
        <w:t xml:space="preserve">ביצוען פוגע בערכים החברתיים של ההגנה על הקופה הציבורית שבאוצר המדינה, ההגנה על שוויון הנשיאה בנטל המס וההגנה על מהימנות הדיווחים לרשויות המס. </w:t>
      </w:r>
      <w:r w:rsidR="00341D79">
        <w:rPr>
          <w:rFonts w:ascii="David" w:eastAsia="Calibri" w:hAnsi="David" w:hint="cs"/>
          <w:rtl/>
        </w:rPr>
        <w:t xml:space="preserve">יוטעם, כי </w:t>
      </w:r>
      <w:r w:rsidRPr="00DE3AE0">
        <w:rPr>
          <w:rFonts w:ascii="David" w:eastAsia="Calibri" w:hAnsi="David"/>
          <w:rtl/>
        </w:rPr>
        <w:t xml:space="preserve">עבירות </w:t>
      </w:r>
      <w:r>
        <w:rPr>
          <w:rFonts w:ascii="David" w:eastAsia="Calibri" w:hAnsi="David" w:hint="cs"/>
          <w:rtl/>
        </w:rPr>
        <w:t>ה</w:t>
      </w:r>
      <w:r w:rsidRPr="00DE3AE0">
        <w:rPr>
          <w:rFonts w:ascii="David" w:eastAsia="Calibri" w:hAnsi="David"/>
          <w:rtl/>
        </w:rPr>
        <w:t xml:space="preserve">מס </w:t>
      </w:r>
      <w:r>
        <w:rPr>
          <w:rFonts w:ascii="David" w:eastAsia="Calibri" w:hAnsi="David" w:hint="cs"/>
          <w:rtl/>
        </w:rPr>
        <w:t xml:space="preserve">אינן </w:t>
      </w:r>
      <w:r w:rsidRPr="00DE3AE0">
        <w:rPr>
          <w:rFonts w:ascii="David" w:eastAsia="Calibri" w:hAnsi="David"/>
          <w:rtl/>
        </w:rPr>
        <w:t>עבירות רגולטוריות גר</w:t>
      </w:r>
      <w:r w:rsidR="00341D79">
        <w:rPr>
          <w:rFonts w:ascii="David" w:eastAsia="Calibri" w:hAnsi="David"/>
          <w:rtl/>
        </w:rPr>
        <w:t>ידא, שכן משמעותן המעשית היא גזל</w:t>
      </w:r>
      <w:r>
        <w:rPr>
          <w:rFonts w:ascii="David" w:eastAsia="Calibri" w:hAnsi="David" w:hint="cs"/>
          <w:rtl/>
        </w:rPr>
        <w:t xml:space="preserve"> </w:t>
      </w:r>
      <w:r w:rsidRPr="00DE3AE0">
        <w:rPr>
          <w:rFonts w:ascii="David" w:eastAsia="Calibri" w:hAnsi="David"/>
          <w:rtl/>
        </w:rPr>
        <w:t xml:space="preserve">כספי הציבור </w:t>
      </w:r>
      <w:r>
        <w:rPr>
          <w:rFonts w:ascii="David" w:eastAsia="Calibri" w:hAnsi="David"/>
          <w:rtl/>
        </w:rPr>
        <w:t>–</w:t>
      </w:r>
      <w:r>
        <w:rPr>
          <w:rFonts w:ascii="David" w:eastAsia="Calibri" w:hAnsi="David" w:hint="cs"/>
          <w:rtl/>
        </w:rPr>
        <w:t xml:space="preserve"> כך בעבירות לפי הפקודה ו</w:t>
      </w:r>
      <w:r w:rsidR="00254ED0">
        <w:rPr>
          <w:rFonts w:ascii="David" w:eastAsia="Calibri" w:hAnsi="David" w:hint="cs"/>
          <w:rtl/>
        </w:rPr>
        <w:t xml:space="preserve">כך </w:t>
      </w:r>
      <w:r>
        <w:rPr>
          <w:rFonts w:ascii="David" w:eastAsia="Calibri" w:hAnsi="David" w:hint="cs"/>
          <w:rtl/>
        </w:rPr>
        <w:t>בוודאי בעבירות לפי חוק מע"מ, שבהן המבצע מש</w:t>
      </w:r>
      <w:r w:rsidR="00254ED0">
        <w:rPr>
          <w:rFonts w:ascii="David" w:eastAsia="Calibri" w:hAnsi="David" w:hint="cs"/>
          <w:rtl/>
        </w:rPr>
        <w:t xml:space="preserve">לשל לכיסו הפרטי </w:t>
      </w:r>
      <w:r>
        <w:rPr>
          <w:rFonts w:ascii="David" w:eastAsia="Calibri" w:hAnsi="David" w:hint="cs"/>
          <w:rtl/>
        </w:rPr>
        <w:t>כספ</w:t>
      </w:r>
      <w:r w:rsidR="000F1FFA">
        <w:rPr>
          <w:rFonts w:ascii="David" w:eastAsia="Calibri" w:hAnsi="David" w:hint="cs"/>
          <w:rtl/>
        </w:rPr>
        <w:t>ים אותם גבה מלקוחותיו בעבור הקופה הציבורית</w:t>
      </w:r>
      <w:r>
        <w:rPr>
          <w:rFonts w:ascii="David" w:eastAsia="Calibri" w:hAnsi="David" w:hint="cs"/>
          <w:rtl/>
        </w:rPr>
        <w:t>.</w:t>
      </w:r>
      <w:r>
        <w:rPr>
          <w:rFonts w:ascii="Tahoma" w:hAnsi="Tahoma" w:hint="cs"/>
          <w:rtl/>
        </w:rPr>
        <w:t xml:space="preserve"> </w:t>
      </w:r>
      <w:r w:rsidR="00254ED0">
        <w:rPr>
          <w:rFonts w:ascii="Tahoma" w:hAnsi="Tahoma" w:hint="cs"/>
          <w:rtl/>
        </w:rPr>
        <w:t xml:space="preserve">זאת ועוד: עבירות המס הן, ככלל, עבירות קלות לביצוע אך קשות לגילוי ולחשיפה </w:t>
      </w:r>
      <w:r w:rsidR="00254ED0">
        <w:rPr>
          <w:rFonts w:ascii="Tahoma" w:hAnsi="Tahoma"/>
          <w:rtl/>
        </w:rPr>
        <w:t>–</w:t>
      </w:r>
      <w:r w:rsidR="00254ED0">
        <w:rPr>
          <w:rFonts w:ascii="Tahoma" w:hAnsi="Tahoma" w:hint="cs"/>
          <w:rtl/>
        </w:rPr>
        <w:t xml:space="preserve"> והמקרה שלפנינו, בו ביצע הנאשם את העבירות במשך שנים ארוכות מבלי שהעבירות נחשפו, יוכיח </w:t>
      </w:r>
      <w:r w:rsidR="00254ED0">
        <w:rPr>
          <w:rFonts w:ascii="Tahoma" w:hAnsi="Tahoma"/>
          <w:rtl/>
        </w:rPr>
        <w:t>–</w:t>
      </w:r>
      <w:r w:rsidR="00254ED0">
        <w:rPr>
          <w:rFonts w:ascii="Tahoma" w:hAnsi="Tahoma" w:hint="cs"/>
          <w:rtl/>
        </w:rPr>
        <w:t xml:space="preserve"> ו</w:t>
      </w:r>
      <w:r w:rsidR="00F1712F">
        <w:rPr>
          <w:rFonts w:ascii="Tahoma" w:hAnsi="Tahoma" w:hint="cs"/>
          <w:rtl/>
        </w:rPr>
        <w:t xml:space="preserve">מכאן </w:t>
      </w:r>
      <w:r w:rsidR="00341D79">
        <w:rPr>
          <w:rFonts w:ascii="Tahoma" w:hAnsi="Tahoma" w:hint="cs"/>
          <w:rtl/>
        </w:rPr>
        <w:t>ה</w:t>
      </w:r>
      <w:r w:rsidR="00F1712F">
        <w:rPr>
          <w:rFonts w:ascii="Tahoma" w:hAnsi="Tahoma" w:hint="cs"/>
          <w:rtl/>
        </w:rPr>
        <w:t xml:space="preserve">חשיבות </w:t>
      </w:r>
      <w:r w:rsidR="00341D79">
        <w:rPr>
          <w:rFonts w:ascii="Tahoma" w:hAnsi="Tahoma" w:hint="cs"/>
          <w:rtl/>
        </w:rPr>
        <w:t xml:space="preserve">הרבה של </w:t>
      </w:r>
      <w:r w:rsidR="00F1712F">
        <w:rPr>
          <w:rFonts w:ascii="Tahoma" w:hAnsi="Tahoma" w:hint="cs"/>
          <w:rtl/>
        </w:rPr>
        <w:t xml:space="preserve">ממד ההרתעה </w:t>
      </w:r>
      <w:r w:rsidR="00254ED0">
        <w:rPr>
          <w:rFonts w:ascii="Tahoma" w:hAnsi="Tahoma" w:hint="cs"/>
          <w:rtl/>
        </w:rPr>
        <w:t>בעניש</w:t>
      </w:r>
      <w:r w:rsidR="00F70C31">
        <w:rPr>
          <w:rFonts w:ascii="Tahoma" w:hAnsi="Tahoma" w:hint="cs"/>
          <w:rtl/>
        </w:rPr>
        <w:t>ת</w:t>
      </w:r>
      <w:r w:rsidR="00254ED0">
        <w:rPr>
          <w:rFonts w:ascii="Tahoma" w:hAnsi="Tahoma" w:hint="cs"/>
          <w:rtl/>
        </w:rPr>
        <w:t>ן.</w:t>
      </w:r>
    </w:p>
    <w:p w:rsidR="000F1FFA" w:rsidRPr="000F1FFA" w:rsidRDefault="00F1712F" w:rsidP="005A3018">
      <w:pPr>
        <w:numPr>
          <w:ilvl w:val="0"/>
          <w:numId w:val="3"/>
        </w:numPr>
        <w:tabs>
          <w:tab w:val="num" w:pos="720"/>
        </w:tabs>
        <w:spacing w:after="120" w:line="360" w:lineRule="auto"/>
        <w:ind w:left="720"/>
        <w:jc w:val="both"/>
        <w:rPr>
          <w:rFonts w:ascii="David" w:eastAsia="Calibri" w:hAnsi="David"/>
        </w:rPr>
      </w:pPr>
      <w:r w:rsidRPr="006433BE">
        <w:rPr>
          <w:rFonts w:ascii="David" w:eastAsia="Calibri" w:hAnsi="David"/>
          <w:rtl/>
        </w:rPr>
        <w:t xml:space="preserve">קביעת מתחם העונש ההולם נגזרת לא רק מחומרת העבירות כשלעצמן, אלא כאמור גם מחומרתן בנסיבות </w:t>
      </w:r>
      <w:r w:rsidR="00341D79">
        <w:rPr>
          <w:rFonts w:ascii="David" w:eastAsia="Calibri" w:hAnsi="David" w:hint="cs"/>
          <w:rtl/>
        </w:rPr>
        <w:t xml:space="preserve">ביצוען </w:t>
      </w:r>
      <w:r w:rsidRPr="006433BE">
        <w:rPr>
          <w:rFonts w:ascii="David" w:eastAsia="Calibri" w:hAnsi="David" w:hint="cs"/>
          <w:rtl/>
        </w:rPr>
        <w:t>בפועל</w:t>
      </w:r>
      <w:r w:rsidR="00A55546">
        <w:rPr>
          <w:rFonts w:ascii="David" w:eastAsia="Calibri" w:hAnsi="David" w:hint="cs"/>
          <w:rtl/>
        </w:rPr>
        <w:t>, הלכה למעשה</w:t>
      </w:r>
      <w:r w:rsidR="00341D79">
        <w:rPr>
          <w:rFonts w:ascii="David" w:eastAsia="Calibri" w:hAnsi="David" w:hint="cs"/>
          <w:rtl/>
        </w:rPr>
        <w:t xml:space="preserve">. </w:t>
      </w:r>
      <w:r w:rsidR="00341D79">
        <w:rPr>
          <w:rFonts w:ascii="Tahoma" w:hAnsi="Tahoma" w:hint="cs"/>
          <w:rtl/>
        </w:rPr>
        <w:t xml:space="preserve">והנה, </w:t>
      </w:r>
      <w:r w:rsidRPr="006433BE">
        <w:rPr>
          <w:rFonts w:ascii="Tahoma" w:hAnsi="Tahoma" w:hint="cs"/>
          <w:rtl/>
        </w:rPr>
        <w:t xml:space="preserve">בענייננו מתקיימות </w:t>
      </w:r>
      <w:r w:rsidR="00341D79">
        <w:rPr>
          <w:rFonts w:ascii="Tahoma" w:hAnsi="Tahoma" w:hint="cs"/>
          <w:rtl/>
        </w:rPr>
        <w:t xml:space="preserve">בהקשר זה </w:t>
      </w:r>
      <w:r w:rsidR="00A55546">
        <w:rPr>
          <w:rFonts w:ascii="Tahoma" w:hAnsi="Tahoma" w:hint="cs"/>
          <w:rtl/>
        </w:rPr>
        <w:t xml:space="preserve">כמה </w:t>
      </w:r>
      <w:r w:rsidRPr="006433BE">
        <w:rPr>
          <w:rFonts w:ascii="Tahoma" w:hAnsi="Tahoma" w:hint="cs"/>
          <w:rtl/>
        </w:rPr>
        <w:t>נסיבות חומרה</w:t>
      </w:r>
      <w:r w:rsidR="00341D79">
        <w:rPr>
          <w:rFonts w:ascii="Tahoma" w:hAnsi="Tahoma" w:hint="cs"/>
          <w:rtl/>
        </w:rPr>
        <w:t>,</w:t>
      </w:r>
      <w:r w:rsidRPr="006433BE">
        <w:rPr>
          <w:rFonts w:ascii="Tahoma" w:hAnsi="Tahoma" w:hint="cs"/>
          <w:rtl/>
        </w:rPr>
        <w:t xml:space="preserve"> </w:t>
      </w:r>
      <w:r w:rsidR="00A55546">
        <w:rPr>
          <w:rFonts w:ascii="Tahoma" w:hAnsi="Tahoma" w:hint="cs"/>
          <w:rtl/>
        </w:rPr>
        <w:t>ה</w:t>
      </w:r>
      <w:r w:rsidRPr="006433BE">
        <w:rPr>
          <w:rFonts w:ascii="Tahoma" w:hAnsi="Tahoma" w:hint="cs"/>
          <w:rtl/>
        </w:rPr>
        <w:t>מצטברות</w:t>
      </w:r>
      <w:r w:rsidR="00A55546">
        <w:rPr>
          <w:rFonts w:ascii="Tahoma" w:hAnsi="Tahoma" w:hint="cs"/>
          <w:rtl/>
        </w:rPr>
        <w:t xml:space="preserve"> האחת לרעותה, כלהלן:</w:t>
      </w:r>
    </w:p>
    <w:p w:rsidR="000F1FFA" w:rsidRDefault="00F1712F" w:rsidP="000F1FFA">
      <w:pPr>
        <w:spacing w:after="120" w:line="360" w:lineRule="auto"/>
        <w:ind w:left="1440"/>
        <w:jc w:val="both"/>
        <w:rPr>
          <w:rFonts w:ascii="David" w:eastAsia="Calibri" w:hAnsi="David"/>
        </w:rPr>
      </w:pPr>
      <w:r w:rsidRPr="006433BE">
        <w:rPr>
          <w:rFonts w:ascii="Tahoma" w:hAnsi="Tahoma" w:hint="cs"/>
          <w:b/>
          <w:bCs/>
          <w:rtl/>
        </w:rPr>
        <w:lastRenderedPageBreak/>
        <w:t>ראשית</w:t>
      </w:r>
      <w:r w:rsidRPr="006433BE">
        <w:rPr>
          <w:rFonts w:ascii="Tahoma" w:hAnsi="Tahoma" w:hint="cs"/>
          <w:rtl/>
        </w:rPr>
        <w:t xml:space="preserve">, </w:t>
      </w:r>
      <w:r w:rsidR="00A9130C" w:rsidRPr="006433BE">
        <w:rPr>
          <w:rFonts w:ascii="Tahoma" w:hAnsi="Tahoma" w:hint="cs"/>
          <w:rtl/>
        </w:rPr>
        <w:t xml:space="preserve">ההיקף הניכר של השמטת ההכנסות (השמטת הכנסה </w:t>
      </w:r>
      <w:r w:rsidRPr="006433BE">
        <w:rPr>
          <w:rFonts w:ascii="David" w:eastAsia="Calibri" w:hAnsi="David"/>
          <w:rtl/>
        </w:rPr>
        <w:t>ב</w:t>
      </w:r>
      <w:r w:rsidRPr="006433BE">
        <w:rPr>
          <w:rFonts w:ascii="David" w:eastAsia="Calibri" w:hAnsi="David"/>
          <w:b/>
          <w:bCs/>
          <w:rtl/>
        </w:rPr>
        <w:t>סך כולל של 9,386,088 ₪</w:t>
      </w:r>
      <w:r w:rsidRPr="006433BE">
        <w:rPr>
          <w:rFonts w:ascii="David" w:eastAsia="Calibri" w:hAnsi="David"/>
          <w:rtl/>
        </w:rPr>
        <w:t>, וה</w:t>
      </w:r>
      <w:r w:rsidR="00A9130C" w:rsidRPr="006433BE">
        <w:rPr>
          <w:rFonts w:ascii="David" w:eastAsia="Calibri" w:hAnsi="David" w:hint="cs"/>
          <w:rtl/>
        </w:rPr>
        <w:t xml:space="preserve">שמטת </w:t>
      </w:r>
      <w:r w:rsidRPr="006433BE">
        <w:rPr>
          <w:rFonts w:ascii="David" w:eastAsia="Calibri" w:hAnsi="David"/>
          <w:rtl/>
        </w:rPr>
        <w:t>מע"מ ב</w:t>
      </w:r>
      <w:r w:rsidRPr="006433BE">
        <w:rPr>
          <w:rFonts w:ascii="David" w:eastAsia="Calibri" w:hAnsi="David"/>
          <w:b/>
          <w:bCs/>
          <w:rtl/>
        </w:rPr>
        <w:t>סך כולל של 1,958,369 ₪</w:t>
      </w:r>
      <w:r w:rsidR="00A942D4">
        <w:rPr>
          <w:rFonts w:ascii="David" w:eastAsia="Calibri" w:hAnsi="David" w:hint="cs"/>
          <w:rtl/>
        </w:rPr>
        <w:t>);</w:t>
      </w:r>
      <w:r w:rsidR="00A9130C" w:rsidRPr="006433BE">
        <w:rPr>
          <w:rFonts w:ascii="David" w:eastAsia="Calibri" w:hAnsi="David" w:hint="cs"/>
          <w:rtl/>
        </w:rPr>
        <w:t xml:space="preserve"> </w:t>
      </w:r>
      <w:r w:rsidR="000F1FFA">
        <w:rPr>
          <w:rFonts w:ascii="David" w:eastAsia="Calibri" w:hAnsi="David" w:hint="cs"/>
          <w:rtl/>
        </w:rPr>
        <w:t xml:space="preserve">כאשר ההיקף הוא משמעותי </w:t>
      </w:r>
      <w:r w:rsidR="00A9130C" w:rsidRPr="006433BE">
        <w:rPr>
          <w:rFonts w:ascii="David" w:eastAsia="Calibri" w:hAnsi="David" w:hint="cs"/>
          <w:rtl/>
        </w:rPr>
        <w:t>גם בהתייחס</w:t>
      </w:r>
      <w:r w:rsidR="00A55546">
        <w:rPr>
          <w:rFonts w:ascii="David" w:eastAsia="Calibri" w:hAnsi="David" w:hint="cs"/>
          <w:rtl/>
        </w:rPr>
        <w:t xml:space="preserve"> לכלל הכנסותיו של הנאשם (כשליש)</w:t>
      </w:r>
      <w:r w:rsidR="000F1FFA">
        <w:rPr>
          <w:rFonts w:ascii="David" w:eastAsia="Calibri" w:hAnsi="David" w:hint="cs"/>
          <w:rtl/>
        </w:rPr>
        <w:t>.</w:t>
      </w:r>
    </w:p>
    <w:p w:rsidR="000F1FFA" w:rsidRDefault="00A9130C" w:rsidP="000F1FFA">
      <w:pPr>
        <w:spacing w:after="120" w:line="360" w:lineRule="auto"/>
        <w:ind w:left="1440"/>
        <w:jc w:val="both"/>
        <w:rPr>
          <w:rFonts w:ascii="David" w:eastAsia="Calibri" w:hAnsi="David"/>
        </w:rPr>
      </w:pPr>
      <w:r w:rsidRPr="006433BE">
        <w:rPr>
          <w:rFonts w:ascii="David" w:eastAsia="Calibri" w:hAnsi="David" w:hint="cs"/>
          <w:b/>
          <w:bCs/>
          <w:rtl/>
        </w:rPr>
        <w:t>שנית</w:t>
      </w:r>
      <w:r w:rsidRPr="006433BE">
        <w:rPr>
          <w:rFonts w:ascii="David" w:eastAsia="Calibri" w:hAnsi="David" w:hint="cs"/>
          <w:rtl/>
        </w:rPr>
        <w:t>, תקופ</w:t>
      </w:r>
      <w:r w:rsidR="00A55546">
        <w:rPr>
          <w:rFonts w:ascii="David" w:eastAsia="Calibri" w:hAnsi="David" w:hint="cs"/>
          <w:rtl/>
        </w:rPr>
        <w:t>ת הזמן הממושכת בה בוצעו העבירות</w:t>
      </w:r>
      <w:r w:rsidRPr="006433BE">
        <w:rPr>
          <w:rFonts w:ascii="David" w:eastAsia="Calibri" w:hAnsi="David" w:hint="cs"/>
          <w:rtl/>
        </w:rPr>
        <w:t xml:space="preserve">, דהיינו </w:t>
      </w:r>
      <w:r w:rsidR="00A55546">
        <w:rPr>
          <w:rFonts w:ascii="David" w:eastAsia="Calibri" w:hAnsi="David" w:hint="cs"/>
          <w:rtl/>
        </w:rPr>
        <w:t>במשך שמונה שנות מס</w:t>
      </w:r>
      <w:r w:rsidR="000F1FFA">
        <w:rPr>
          <w:rFonts w:ascii="David" w:eastAsia="Calibri" w:hAnsi="David" w:hint="cs"/>
          <w:rtl/>
        </w:rPr>
        <w:t xml:space="preserve"> רצופות, והשיטתיות שבביצוען.</w:t>
      </w:r>
    </w:p>
    <w:p w:rsidR="008A785D" w:rsidRPr="006433BE" w:rsidRDefault="00A9130C" w:rsidP="000F1FFA">
      <w:pPr>
        <w:spacing w:after="120" w:line="360" w:lineRule="auto"/>
        <w:ind w:left="1440"/>
        <w:jc w:val="both"/>
        <w:rPr>
          <w:rFonts w:ascii="David" w:eastAsia="Calibri" w:hAnsi="David"/>
        </w:rPr>
      </w:pPr>
      <w:r w:rsidRPr="006433BE">
        <w:rPr>
          <w:rFonts w:ascii="David" w:eastAsia="Calibri" w:hAnsi="David" w:hint="cs"/>
          <w:b/>
          <w:bCs/>
          <w:rtl/>
        </w:rPr>
        <w:t>שלישית</w:t>
      </w:r>
      <w:r w:rsidRPr="006433BE">
        <w:rPr>
          <w:rFonts w:ascii="David" w:eastAsia="Calibri" w:hAnsi="David" w:hint="cs"/>
          <w:rtl/>
        </w:rPr>
        <w:t xml:space="preserve">, התחכום </w:t>
      </w:r>
      <w:r w:rsidR="006433BE">
        <w:rPr>
          <w:rFonts w:ascii="David" w:eastAsia="Calibri" w:hAnsi="David" w:hint="cs"/>
          <w:rtl/>
        </w:rPr>
        <w:t>ש</w:t>
      </w:r>
      <w:r w:rsidRPr="006433BE">
        <w:rPr>
          <w:rFonts w:ascii="David" w:eastAsia="Calibri" w:hAnsi="David" w:hint="cs"/>
          <w:rtl/>
        </w:rPr>
        <w:t xml:space="preserve">בביצוע העבירות באמצעות דיווח </w:t>
      </w:r>
      <w:r w:rsidR="005A3018">
        <w:rPr>
          <w:rFonts w:ascii="David" w:eastAsia="Calibri" w:hAnsi="David" w:hint="cs"/>
          <w:rtl/>
        </w:rPr>
        <w:t xml:space="preserve">חלקי </w:t>
      </w:r>
      <w:r w:rsidR="005A3018">
        <w:rPr>
          <w:rFonts w:ascii="David" w:eastAsia="Calibri" w:hAnsi="David"/>
          <w:rtl/>
        </w:rPr>
        <w:t>–</w:t>
      </w:r>
      <w:r w:rsidR="005A3018">
        <w:rPr>
          <w:rFonts w:ascii="David" w:eastAsia="Calibri" w:hAnsi="David" w:hint="cs"/>
          <w:rtl/>
        </w:rPr>
        <w:t xml:space="preserve"> </w:t>
      </w:r>
      <w:r w:rsidRPr="006433BE">
        <w:rPr>
          <w:rFonts w:ascii="David" w:eastAsia="Calibri" w:hAnsi="David" w:hint="cs"/>
          <w:rtl/>
        </w:rPr>
        <w:t xml:space="preserve">שהלכה למעשה יצר מצג שווא </w:t>
      </w:r>
      <w:r w:rsidR="008A785D" w:rsidRPr="006433BE">
        <w:rPr>
          <w:rFonts w:ascii="David" w:eastAsia="Calibri" w:hAnsi="David" w:hint="cs"/>
          <w:rtl/>
        </w:rPr>
        <w:t xml:space="preserve">של </w:t>
      </w:r>
      <w:r w:rsidR="00A55546">
        <w:rPr>
          <w:rFonts w:ascii="David" w:eastAsia="Calibri" w:hAnsi="David" w:hint="cs"/>
          <w:rtl/>
        </w:rPr>
        <w:t>תשלום מיסים כ</w:t>
      </w:r>
      <w:r w:rsidR="006433BE">
        <w:rPr>
          <w:rFonts w:ascii="David" w:eastAsia="Calibri" w:hAnsi="David" w:hint="cs"/>
          <w:rtl/>
        </w:rPr>
        <w:t>דין</w:t>
      </w:r>
      <w:r w:rsidR="008A785D" w:rsidRPr="006433BE">
        <w:rPr>
          <w:rFonts w:ascii="David" w:eastAsia="Calibri" w:hAnsi="David" w:hint="cs"/>
          <w:rtl/>
        </w:rPr>
        <w:t xml:space="preserve"> (אלמנט המרמה)</w:t>
      </w:r>
      <w:r w:rsidR="005A3018">
        <w:rPr>
          <w:rFonts w:ascii="David" w:eastAsia="Calibri" w:hAnsi="David" w:hint="cs"/>
          <w:rtl/>
        </w:rPr>
        <w:t xml:space="preserve"> </w:t>
      </w:r>
      <w:r w:rsidR="005A3018">
        <w:rPr>
          <w:rFonts w:ascii="David" w:eastAsia="Calibri" w:hAnsi="David"/>
          <w:rtl/>
        </w:rPr>
        <w:t>–</w:t>
      </w:r>
      <w:r w:rsidR="005A3018">
        <w:rPr>
          <w:rFonts w:ascii="David" w:eastAsia="Calibri" w:hAnsi="David" w:hint="cs"/>
          <w:rtl/>
        </w:rPr>
        <w:t xml:space="preserve"> כאשר ביצוע העבירות </w:t>
      </w:r>
      <w:r w:rsidR="00A55546">
        <w:rPr>
          <w:rFonts w:ascii="David" w:eastAsia="Calibri" w:hAnsi="David" w:hint="cs"/>
          <w:rtl/>
        </w:rPr>
        <w:t xml:space="preserve">הופסק </w:t>
      </w:r>
      <w:r w:rsidR="00A1599D">
        <w:rPr>
          <w:rFonts w:ascii="David" w:eastAsia="Calibri" w:hAnsi="David" w:hint="cs"/>
          <w:rtl/>
        </w:rPr>
        <w:t xml:space="preserve">רק </w:t>
      </w:r>
      <w:r w:rsidR="005A3018">
        <w:rPr>
          <w:rFonts w:ascii="David" w:eastAsia="Calibri" w:hAnsi="David" w:hint="cs"/>
          <w:rtl/>
        </w:rPr>
        <w:t>בשל פתיחת החקירה</w:t>
      </w:r>
      <w:r w:rsidR="008A785D" w:rsidRPr="006433BE">
        <w:rPr>
          <w:rFonts w:ascii="David" w:eastAsia="Calibri" w:hAnsi="David" w:hint="cs"/>
          <w:rtl/>
        </w:rPr>
        <w:t>.</w:t>
      </w:r>
    </w:p>
    <w:p w:rsidR="000F1FFA" w:rsidRDefault="006433BE" w:rsidP="000900F8">
      <w:pPr>
        <w:numPr>
          <w:ilvl w:val="0"/>
          <w:numId w:val="3"/>
        </w:numPr>
        <w:tabs>
          <w:tab w:val="num" w:pos="720"/>
        </w:tabs>
        <w:spacing w:after="120" w:line="360" w:lineRule="auto"/>
        <w:ind w:left="720"/>
        <w:jc w:val="both"/>
        <w:rPr>
          <w:rFonts w:ascii="Tahoma" w:hAnsi="Tahoma"/>
        </w:rPr>
      </w:pPr>
      <w:r>
        <w:rPr>
          <w:rFonts w:ascii="David" w:eastAsia="Calibri" w:hAnsi="David" w:hint="cs"/>
          <w:rtl/>
        </w:rPr>
        <w:t xml:space="preserve">על פני הדברים ברור אפוא </w:t>
      </w:r>
      <w:r w:rsidR="00500E8F">
        <w:rPr>
          <w:rFonts w:ascii="David" w:eastAsia="Calibri" w:hAnsi="David" w:hint="cs"/>
          <w:rtl/>
        </w:rPr>
        <w:t>כי מדובר בענייננו במקרה חמור, המחייב קביעת מתחם עונש הולם שת</w:t>
      </w:r>
      <w:r w:rsidR="000F1FFA">
        <w:rPr>
          <w:rFonts w:ascii="David" w:eastAsia="Calibri" w:hAnsi="David" w:hint="cs"/>
          <w:rtl/>
        </w:rPr>
        <w:t>חילתו במאסר בפועל לתקופה ממושכת;</w:t>
      </w:r>
      <w:r w:rsidR="00500E8F">
        <w:rPr>
          <w:rFonts w:ascii="David" w:eastAsia="Calibri" w:hAnsi="David" w:hint="cs"/>
          <w:rtl/>
        </w:rPr>
        <w:t xml:space="preserve"> וממילא ברור כי אין יסוד לעתירת הסניגור </w:t>
      </w:r>
      <w:r w:rsidR="00500E8F" w:rsidRPr="00DE3AE0">
        <w:rPr>
          <w:rFonts w:ascii="David" w:eastAsia="Calibri" w:hAnsi="David"/>
          <w:rtl/>
        </w:rPr>
        <w:t>לקביעת מתחם עונש שראשיתו במאסר של 6 חודשים לנשיאה בדרך של עבודות שירות</w:t>
      </w:r>
      <w:r w:rsidR="000F1FFA">
        <w:rPr>
          <w:rFonts w:ascii="Tahoma" w:hAnsi="Tahoma" w:hint="cs"/>
          <w:rtl/>
        </w:rPr>
        <w:t>.</w:t>
      </w:r>
    </w:p>
    <w:p w:rsidR="00500E8F" w:rsidRDefault="00500E8F" w:rsidP="000F1FFA">
      <w:pPr>
        <w:numPr>
          <w:ilvl w:val="0"/>
          <w:numId w:val="3"/>
        </w:numPr>
        <w:tabs>
          <w:tab w:val="num" w:pos="720"/>
        </w:tabs>
        <w:spacing w:after="120" w:line="360" w:lineRule="auto"/>
        <w:ind w:left="720"/>
        <w:jc w:val="both"/>
        <w:rPr>
          <w:rFonts w:ascii="Tahoma" w:hAnsi="Tahoma"/>
        </w:rPr>
      </w:pPr>
      <w:r>
        <w:rPr>
          <w:rFonts w:ascii="Tahoma" w:hAnsi="Tahoma" w:hint="cs"/>
          <w:rtl/>
        </w:rPr>
        <w:t>עם זאת, בקביעת מתחם העונש ההולם יש להתחשב גם במדיניות הענישה הנהוגה, וסקירת הפסיקה אינה תומכת באופן חד משמעי בעתיר</w:t>
      </w:r>
      <w:r w:rsidR="00F70C31">
        <w:rPr>
          <w:rFonts w:ascii="Tahoma" w:hAnsi="Tahoma" w:hint="cs"/>
          <w:rtl/>
        </w:rPr>
        <w:t>ת המאשימה. בהקשר זה יש גם ל</w:t>
      </w:r>
      <w:r w:rsidR="000F1FFA">
        <w:rPr>
          <w:rFonts w:ascii="Tahoma" w:hAnsi="Tahoma" w:hint="cs"/>
          <w:rtl/>
        </w:rPr>
        <w:t>הזכיר</w:t>
      </w:r>
      <w:r>
        <w:rPr>
          <w:rFonts w:ascii="Tahoma" w:hAnsi="Tahoma" w:hint="cs"/>
          <w:rtl/>
        </w:rPr>
        <w:t xml:space="preserve"> כי קביעת מתחם העונש ההולם אינה עניין לחישוב לינארי, ועל כן השמטה בהיקף כפול לא תביא לקביעת מתחם </w:t>
      </w:r>
      <w:r w:rsidR="00F70C31">
        <w:rPr>
          <w:rFonts w:ascii="Tahoma" w:hAnsi="Tahoma" w:hint="cs"/>
          <w:rtl/>
        </w:rPr>
        <w:t xml:space="preserve">ענישה </w:t>
      </w:r>
      <w:r>
        <w:rPr>
          <w:rFonts w:ascii="Tahoma" w:hAnsi="Tahoma" w:hint="cs"/>
          <w:rtl/>
        </w:rPr>
        <w:t>כפול (במאמר מוסגר יוער כי מדובר בעיקרון פנולוגי ידוע</w:t>
      </w:r>
      <w:r w:rsidR="000900F8">
        <w:rPr>
          <w:rFonts w:ascii="Tahoma" w:hAnsi="Tahoma" w:hint="cs"/>
          <w:rtl/>
        </w:rPr>
        <w:t xml:space="preserve">, שחל </w:t>
      </w:r>
      <w:r w:rsidR="00F70C31">
        <w:rPr>
          <w:rFonts w:ascii="Tahoma" w:hAnsi="Tahoma" w:hint="cs"/>
          <w:rtl/>
        </w:rPr>
        <w:t xml:space="preserve">בענישה </w:t>
      </w:r>
      <w:r w:rsidR="000900F8">
        <w:rPr>
          <w:rFonts w:ascii="Tahoma" w:hAnsi="Tahoma" w:hint="cs"/>
          <w:rtl/>
        </w:rPr>
        <w:t>באופן כללי ואינו מוגבל לעבירות כלכליות).</w:t>
      </w:r>
    </w:p>
    <w:p w:rsidR="00393F17" w:rsidRDefault="00A459EF" w:rsidP="00393F17">
      <w:pPr>
        <w:numPr>
          <w:ilvl w:val="0"/>
          <w:numId w:val="3"/>
        </w:numPr>
        <w:tabs>
          <w:tab w:val="num" w:pos="720"/>
        </w:tabs>
        <w:spacing w:after="120" w:line="360" w:lineRule="auto"/>
        <w:ind w:left="720"/>
        <w:jc w:val="both"/>
        <w:rPr>
          <w:rFonts w:ascii="Tahoma" w:hAnsi="Tahoma"/>
        </w:rPr>
      </w:pPr>
      <w:r w:rsidRPr="00393F17">
        <w:rPr>
          <w:rFonts w:ascii="Tahoma" w:hAnsi="Tahoma" w:hint="cs"/>
          <w:rtl/>
        </w:rPr>
        <w:t>בהינתן האמור, ובנוסף לאסמכתאות אליהן הפנתה ב"כ המאשימה, יש להפנות ל</w:t>
      </w:r>
      <w:r w:rsidR="00393F17">
        <w:rPr>
          <w:rFonts w:ascii="Tahoma" w:hAnsi="Tahoma" w:hint="cs"/>
          <w:rtl/>
        </w:rPr>
        <w:t>אסמכתאות הבאות:</w:t>
      </w:r>
    </w:p>
    <w:p w:rsidR="00393F17" w:rsidRPr="00C36A82" w:rsidRDefault="00A459EF" w:rsidP="00165E4D">
      <w:pPr>
        <w:pStyle w:val="ad"/>
        <w:numPr>
          <w:ilvl w:val="0"/>
          <w:numId w:val="4"/>
        </w:numPr>
        <w:spacing w:after="120" w:line="360" w:lineRule="auto"/>
        <w:ind w:left="1080"/>
        <w:jc w:val="both"/>
        <w:rPr>
          <w:rFonts w:ascii="Tahoma" w:hAnsi="Tahoma"/>
        </w:rPr>
      </w:pPr>
      <w:r w:rsidRPr="00C36A82">
        <w:rPr>
          <w:rFonts w:ascii="Tahoma" w:hAnsi="Tahoma" w:hint="cs"/>
          <w:rtl/>
        </w:rPr>
        <w:t xml:space="preserve">ת"פ (שלום ת"א) 57975-07-13 </w:t>
      </w:r>
      <w:r w:rsidRPr="00C36A82">
        <w:rPr>
          <w:rFonts w:ascii="Tahoma" w:hAnsi="Tahoma" w:hint="cs"/>
          <w:b/>
          <w:bCs/>
          <w:rtl/>
        </w:rPr>
        <w:t>מדינת ישראל נ' סיגלוב</w:t>
      </w:r>
      <w:r w:rsidRPr="00C36A82">
        <w:rPr>
          <w:rFonts w:ascii="Tahoma" w:hAnsi="Tahoma" w:hint="cs"/>
          <w:rtl/>
        </w:rPr>
        <w:t xml:space="preserve"> (16.06.2015); </w:t>
      </w:r>
      <w:r w:rsidRPr="00C36A82">
        <w:rPr>
          <w:rFonts w:ascii="Tahoma" w:hAnsi="Tahoma"/>
          <w:rtl/>
        </w:rPr>
        <w:t>ע"פ (מחוזי ת"א) 33782-07-15 </w:t>
      </w:r>
      <w:r w:rsidRPr="00C36A82">
        <w:rPr>
          <w:rFonts w:ascii="Tahoma" w:hAnsi="Tahoma"/>
          <w:b/>
          <w:bCs/>
          <w:rtl/>
        </w:rPr>
        <w:t>סיגלוב נ' מדינת ישראל</w:t>
      </w:r>
      <w:r w:rsidRPr="00C36A82">
        <w:rPr>
          <w:rFonts w:ascii="Tahoma" w:hAnsi="Tahoma"/>
          <w:rtl/>
        </w:rPr>
        <w:t> (18.11.2015)</w:t>
      </w:r>
      <w:r w:rsidR="00393F17" w:rsidRPr="00C36A82">
        <w:rPr>
          <w:rFonts w:ascii="Tahoma" w:hAnsi="Tahoma" w:hint="cs"/>
          <w:rtl/>
        </w:rPr>
        <w:t xml:space="preserve"> </w:t>
      </w:r>
      <w:r w:rsidR="00393F17" w:rsidRPr="00C36A82">
        <w:rPr>
          <w:rFonts w:ascii="Tahoma" w:hAnsi="Tahoma"/>
          <w:rtl/>
        </w:rPr>
        <w:t>–</w:t>
      </w:r>
      <w:r w:rsidR="00393F17" w:rsidRPr="00C36A82">
        <w:rPr>
          <w:rFonts w:ascii="Tahoma" w:hAnsi="Tahoma" w:hint="cs"/>
          <w:rtl/>
        </w:rPr>
        <w:t xml:space="preserve"> באותו מקרה דובר </w:t>
      </w:r>
      <w:r w:rsidR="00393F17" w:rsidRPr="00C36A82">
        <w:rPr>
          <w:rFonts w:ascii="David" w:eastAsia="Calibri" w:hAnsi="David" w:hint="cs"/>
          <w:rtl/>
        </w:rPr>
        <w:t>ב</w:t>
      </w:r>
      <w:r w:rsidRPr="00C36A82">
        <w:rPr>
          <w:rFonts w:ascii="David" w:eastAsia="Calibri" w:hAnsi="David"/>
          <w:rtl/>
        </w:rPr>
        <w:t xml:space="preserve">השמטת הכנסה </w:t>
      </w:r>
      <w:r w:rsidR="00EC5634" w:rsidRPr="00C36A82">
        <w:rPr>
          <w:rFonts w:ascii="David" w:eastAsia="Calibri" w:hAnsi="David" w:hint="cs"/>
          <w:rtl/>
        </w:rPr>
        <w:t xml:space="preserve">בסך </w:t>
      </w:r>
      <w:r w:rsidRPr="00C36A82">
        <w:rPr>
          <w:rFonts w:ascii="David" w:eastAsia="Calibri" w:hAnsi="David"/>
          <w:rtl/>
        </w:rPr>
        <w:t>של 5,669,2</w:t>
      </w:r>
      <w:r w:rsidR="00393F17" w:rsidRPr="00C36A82">
        <w:rPr>
          <w:rFonts w:ascii="David" w:eastAsia="Calibri" w:hAnsi="David"/>
          <w:rtl/>
        </w:rPr>
        <w:t>19 ₪ ו</w:t>
      </w:r>
      <w:r w:rsidR="00EC5634" w:rsidRPr="00C36A82">
        <w:rPr>
          <w:rFonts w:ascii="David" w:eastAsia="Calibri" w:hAnsi="David" w:hint="cs"/>
          <w:rtl/>
        </w:rPr>
        <w:t>ב</w:t>
      </w:r>
      <w:r w:rsidR="00393F17" w:rsidRPr="00C36A82">
        <w:rPr>
          <w:rFonts w:ascii="David" w:eastAsia="Calibri" w:hAnsi="David"/>
          <w:rtl/>
        </w:rPr>
        <w:t xml:space="preserve">השמטת מע"מ </w:t>
      </w:r>
      <w:r w:rsidR="00EC5634" w:rsidRPr="00C36A82">
        <w:rPr>
          <w:rFonts w:ascii="David" w:eastAsia="Calibri" w:hAnsi="David" w:hint="cs"/>
          <w:rtl/>
        </w:rPr>
        <w:t xml:space="preserve">בסך </w:t>
      </w:r>
      <w:r w:rsidR="00393F17" w:rsidRPr="00C36A82">
        <w:rPr>
          <w:rFonts w:ascii="David" w:eastAsia="Calibri" w:hAnsi="David"/>
          <w:rtl/>
        </w:rPr>
        <w:t>של 658,406 ₪</w:t>
      </w:r>
      <w:r w:rsidR="006B0CAD" w:rsidRPr="00C36A82">
        <w:rPr>
          <w:rFonts w:ascii="David" w:eastAsia="Calibri" w:hAnsi="David" w:hint="cs"/>
          <w:rtl/>
        </w:rPr>
        <w:t xml:space="preserve">. </w:t>
      </w:r>
      <w:r w:rsidR="00393F17" w:rsidRPr="00C36A82">
        <w:rPr>
          <w:rFonts w:ascii="David" w:eastAsia="Calibri" w:hAnsi="David" w:hint="cs"/>
          <w:rtl/>
        </w:rPr>
        <w:t xml:space="preserve">בית משפט השלום </w:t>
      </w:r>
      <w:r w:rsidR="006B0CAD" w:rsidRPr="00C36A82">
        <w:rPr>
          <w:rFonts w:ascii="David" w:eastAsia="Calibri" w:hAnsi="David" w:hint="cs"/>
          <w:rtl/>
        </w:rPr>
        <w:t xml:space="preserve">סקר פסיקה רבה וקבע </w:t>
      </w:r>
      <w:r w:rsidR="005F34A3">
        <w:rPr>
          <w:rFonts w:ascii="David" w:eastAsia="Calibri" w:hAnsi="David" w:hint="cs"/>
          <w:rtl/>
        </w:rPr>
        <w:t xml:space="preserve">את </w:t>
      </w:r>
      <w:r w:rsidR="00393F17" w:rsidRPr="00C36A82">
        <w:rPr>
          <w:rFonts w:ascii="David" w:eastAsia="Calibri" w:hAnsi="David" w:hint="cs"/>
          <w:rtl/>
        </w:rPr>
        <w:t xml:space="preserve">מתחם </w:t>
      </w:r>
      <w:r w:rsidR="00165E4D">
        <w:rPr>
          <w:rFonts w:ascii="David" w:eastAsia="Calibri" w:hAnsi="David" w:hint="cs"/>
          <w:rtl/>
        </w:rPr>
        <w:t>ה</w:t>
      </w:r>
      <w:r w:rsidR="00393F17" w:rsidRPr="00C36A82">
        <w:rPr>
          <w:rFonts w:ascii="David" w:eastAsia="Calibri" w:hAnsi="David" w:hint="cs"/>
          <w:rtl/>
        </w:rPr>
        <w:t xml:space="preserve">עונש </w:t>
      </w:r>
      <w:r w:rsidR="00165E4D">
        <w:rPr>
          <w:rFonts w:ascii="David" w:eastAsia="Calibri" w:hAnsi="David" w:hint="cs"/>
          <w:rtl/>
        </w:rPr>
        <w:t>ה</w:t>
      </w:r>
      <w:r w:rsidR="00393F17" w:rsidRPr="00C36A82">
        <w:rPr>
          <w:rFonts w:ascii="David" w:eastAsia="Calibri" w:hAnsi="David" w:hint="cs"/>
          <w:rtl/>
        </w:rPr>
        <w:t>הולם בין 18 חודשי מאסר בפועל לבין 40 חודשי מאסר בפועל. המתחם אושר בערעור לבית המשפט המחוזי, הגם שהוקל בעונש שנגזר על הנאשם.</w:t>
      </w:r>
    </w:p>
    <w:p w:rsidR="008819A4" w:rsidRPr="00C36A82" w:rsidRDefault="000900F8" w:rsidP="00341D79">
      <w:pPr>
        <w:pStyle w:val="ad"/>
        <w:numPr>
          <w:ilvl w:val="0"/>
          <w:numId w:val="4"/>
        </w:numPr>
        <w:spacing w:after="120" w:line="360" w:lineRule="auto"/>
        <w:ind w:left="1080"/>
        <w:jc w:val="both"/>
        <w:rPr>
          <w:rFonts w:ascii="Tahoma" w:hAnsi="Tahoma"/>
        </w:rPr>
      </w:pPr>
      <w:r w:rsidRPr="00C36A82">
        <w:rPr>
          <w:rFonts w:ascii="Tahoma" w:hAnsi="Tahoma"/>
          <w:rtl/>
        </w:rPr>
        <w:t>ת"פ (שלום ת"א) 39319-05-17 </w:t>
      </w:r>
      <w:r w:rsidRPr="00C36A82">
        <w:rPr>
          <w:rFonts w:ascii="Tahoma" w:hAnsi="Tahoma"/>
          <w:b/>
          <w:bCs/>
          <w:rtl/>
        </w:rPr>
        <w:t>מדינת ישראל נ' זיגדון</w:t>
      </w:r>
      <w:r w:rsidR="00F17BB1" w:rsidRPr="00C36A82">
        <w:rPr>
          <w:rFonts w:ascii="Tahoma" w:hAnsi="Tahoma" w:hint="cs"/>
          <w:b/>
          <w:bCs/>
          <w:rtl/>
        </w:rPr>
        <w:t xml:space="preserve"> ואח'</w:t>
      </w:r>
      <w:r w:rsidRPr="00C36A82">
        <w:rPr>
          <w:rFonts w:ascii="Tahoma" w:hAnsi="Tahoma"/>
          <w:rtl/>
        </w:rPr>
        <w:t xml:space="preserve"> (14.11.2019) </w:t>
      </w:r>
      <w:r w:rsidR="006B0CAD" w:rsidRPr="00C36A82">
        <w:rPr>
          <w:rFonts w:ascii="Tahoma" w:hAnsi="Tahoma"/>
          <w:rtl/>
        </w:rPr>
        <w:t>–</w:t>
      </w:r>
      <w:r w:rsidR="006B0CAD" w:rsidRPr="00C36A82">
        <w:rPr>
          <w:rFonts w:ascii="Tahoma" w:hAnsi="Tahoma" w:hint="cs"/>
          <w:rtl/>
        </w:rPr>
        <w:t xml:space="preserve"> </w:t>
      </w:r>
      <w:r w:rsidR="00EC5634" w:rsidRPr="00C36A82">
        <w:rPr>
          <w:rFonts w:ascii="Tahoma" w:hAnsi="Tahoma" w:hint="cs"/>
          <w:rtl/>
        </w:rPr>
        <w:t xml:space="preserve">באותו מקרה דובר בהשמטת הכנסה בסך של </w:t>
      </w:r>
      <w:r w:rsidRPr="00C36A82">
        <w:rPr>
          <w:rFonts w:ascii="Tahoma" w:hAnsi="Tahoma"/>
          <w:rtl/>
        </w:rPr>
        <w:t>11,637,174 ₪ ו</w:t>
      </w:r>
      <w:r w:rsidR="00EC5634" w:rsidRPr="00C36A82">
        <w:rPr>
          <w:rFonts w:ascii="Tahoma" w:hAnsi="Tahoma" w:hint="cs"/>
          <w:rtl/>
        </w:rPr>
        <w:t>בהשמטת מ</w:t>
      </w:r>
      <w:r w:rsidRPr="00C36A82">
        <w:rPr>
          <w:rFonts w:ascii="Tahoma" w:hAnsi="Tahoma"/>
          <w:rtl/>
        </w:rPr>
        <w:t xml:space="preserve">ע"מ בסך </w:t>
      </w:r>
      <w:r w:rsidR="00EC5634" w:rsidRPr="00C36A82">
        <w:rPr>
          <w:rFonts w:ascii="Tahoma" w:hAnsi="Tahoma" w:hint="cs"/>
          <w:rtl/>
        </w:rPr>
        <w:t xml:space="preserve">של </w:t>
      </w:r>
      <w:r w:rsidRPr="00C36A82">
        <w:rPr>
          <w:rFonts w:ascii="Tahoma" w:hAnsi="Tahoma"/>
          <w:rtl/>
        </w:rPr>
        <w:t>1,871,853 ₪</w:t>
      </w:r>
      <w:r w:rsidR="00341D79">
        <w:rPr>
          <w:rFonts w:ascii="Tahoma" w:hAnsi="Tahoma" w:hint="cs"/>
          <w:rtl/>
        </w:rPr>
        <w:t>,</w:t>
      </w:r>
      <w:r w:rsidR="00F17BB1" w:rsidRPr="00C36A82">
        <w:rPr>
          <w:rFonts w:ascii="Tahoma" w:hAnsi="Tahoma" w:hint="cs"/>
          <w:rtl/>
        </w:rPr>
        <w:t xml:space="preserve"> במשך שבע שנים. דובר אמנם בהסדר טיעון</w:t>
      </w:r>
      <w:r w:rsidR="00341D79">
        <w:rPr>
          <w:rFonts w:ascii="Tahoma" w:hAnsi="Tahoma" w:hint="cs"/>
          <w:rtl/>
        </w:rPr>
        <w:t xml:space="preserve"> שכלל </w:t>
      </w:r>
      <w:r w:rsidR="00F17BB1" w:rsidRPr="00C36A82">
        <w:rPr>
          <w:rFonts w:ascii="Tahoma" w:hAnsi="Tahoma" w:hint="cs"/>
          <w:rtl/>
        </w:rPr>
        <w:t>הסכמות לעניין הטיעונים עונש, אך בית המשפט אישר מתחם עונש הולם שבין 36 חודשי מאסר בפועל לבין 60 חודשי מאסר בפועל לאחר בחינת הפסיקה הרלוואנטית.</w:t>
      </w:r>
    </w:p>
    <w:p w:rsidR="008819A4" w:rsidRPr="00C36A82" w:rsidRDefault="00F17BB1" w:rsidP="00C36A82">
      <w:pPr>
        <w:pStyle w:val="ad"/>
        <w:numPr>
          <w:ilvl w:val="0"/>
          <w:numId w:val="4"/>
        </w:numPr>
        <w:spacing w:after="120" w:line="360" w:lineRule="auto"/>
        <w:ind w:left="1080"/>
        <w:jc w:val="both"/>
        <w:rPr>
          <w:rFonts w:ascii="Tahoma" w:hAnsi="Tahoma"/>
          <w:rtl/>
        </w:rPr>
      </w:pPr>
      <w:r w:rsidRPr="00C36A82">
        <w:rPr>
          <w:rFonts w:ascii="David" w:eastAsia="Calibri" w:hAnsi="David"/>
          <w:rtl/>
        </w:rPr>
        <w:t>ת"פ (שלום ת"א) 37914-02-21 </w:t>
      </w:r>
      <w:r w:rsidRPr="00C36A82">
        <w:rPr>
          <w:rFonts w:ascii="David" w:eastAsia="Calibri" w:hAnsi="David"/>
          <w:b/>
          <w:bCs/>
          <w:rtl/>
        </w:rPr>
        <w:t>מדינת ישראל נ' וקסבום</w:t>
      </w:r>
      <w:r w:rsidRPr="00C36A82">
        <w:rPr>
          <w:rFonts w:ascii="David" w:eastAsia="Calibri" w:hAnsi="David"/>
          <w:rtl/>
        </w:rPr>
        <w:t> (29.05.2022)</w:t>
      </w:r>
      <w:r w:rsidRPr="00C36A82">
        <w:rPr>
          <w:rFonts w:ascii="David" w:eastAsia="Calibri" w:hAnsi="David" w:hint="cs"/>
          <w:rtl/>
        </w:rPr>
        <w:t xml:space="preserve">; עפ"ג (מחוזי ת"א) 22209-07-22 </w:t>
      </w:r>
      <w:r w:rsidRPr="00C36A82">
        <w:rPr>
          <w:rFonts w:ascii="David" w:eastAsia="Calibri" w:hAnsi="David" w:hint="cs"/>
          <w:b/>
          <w:bCs/>
          <w:rtl/>
        </w:rPr>
        <w:t>מדינת ישראל נ' וקסבום</w:t>
      </w:r>
      <w:r w:rsidRPr="00C36A82">
        <w:rPr>
          <w:rFonts w:ascii="David" w:eastAsia="Calibri" w:hAnsi="David" w:hint="cs"/>
          <w:rtl/>
        </w:rPr>
        <w:t xml:space="preserve"> (05.03.2023)</w:t>
      </w:r>
      <w:r w:rsidR="0033652D" w:rsidRPr="00C36A82">
        <w:rPr>
          <w:rFonts w:ascii="David" w:eastAsia="Calibri" w:hAnsi="David" w:hint="cs"/>
          <w:rtl/>
        </w:rPr>
        <w:t xml:space="preserve"> </w:t>
      </w:r>
      <w:r w:rsidR="0033652D" w:rsidRPr="00C36A82">
        <w:rPr>
          <w:rFonts w:ascii="David" w:eastAsia="Calibri" w:hAnsi="David"/>
          <w:rtl/>
        </w:rPr>
        <w:t>–</w:t>
      </w:r>
      <w:r w:rsidR="0033652D" w:rsidRPr="00C36A82">
        <w:rPr>
          <w:rFonts w:ascii="David" w:eastAsia="Calibri" w:hAnsi="David" w:hint="cs"/>
          <w:rtl/>
        </w:rPr>
        <w:t xml:space="preserve"> באותו מקרה דובר בהשמטת הכנסה בסך של </w:t>
      </w:r>
      <w:r w:rsidR="0033652D" w:rsidRPr="00C36A82">
        <w:rPr>
          <w:rFonts w:ascii="Tahoma" w:hAnsi="Tahoma"/>
          <w:rtl/>
        </w:rPr>
        <w:t>5,221,753 ₪</w:t>
      </w:r>
      <w:r w:rsidR="008819A4" w:rsidRPr="00C36A82">
        <w:rPr>
          <w:rFonts w:ascii="Tahoma" w:hAnsi="Tahoma" w:hint="cs"/>
          <w:rtl/>
        </w:rPr>
        <w:t>, ללא עבירות מע"מ</w:t>
      </w:r>
      <w:r w:rsidR="003F6667">
        <w:rPr>
          <w:rFonts w:ascii="Tahoma" w:hAnsi="Tahoma" w:hint="cs"/>
          <w:rtl/>
        </w:rPr>
        <w:t xml:space="preserve"> נלוות</w:t>
      </w:r>
      <w:r w:rsidR="008819A4" w:rsidRPr="00C36A82">
        <w:rPr>
          <w:rFonts w:ascii="Tahoma" w:hAnsi="Tahoma" w:hint="cs"/>
          <w:rtl/>
        </w:rPr>
        <w:t>,</w:t>
      </w:r>
      <w:r w:rsidR="0033652D" w:rsidRPr="00C36A82">
        <w:rPr>
          <w:rFonts w:ascii="Tahoma" w:hAnsi="Tahoma" w:hint="cs"/>
          <w:rtl/>
        </w:rPr>
        <w:t xml:space="preserve"> במשך עשור.</w:t>
      </w:r>
      <w:r w:rsidR="008819A4" w:rsidRPr="00C36A82">
        <w:rPr>
          <w:rFonts w:ascii="Tahoma" w:hAnsi="Tahoma" w:hint="cs"/>
          <w:rtl/>
        </w:rPr>
        <w:t xml:space="preserve"> </w:t>
      </w:r>
      <w:r w:rsidR="008819A4" w:rsidRPr="00C36A82">
        <w:rPr>
          <w:rFonts w:ascii="David" w:eastAsia="Calibri" w:hAnsi="David" w:hint="cs"/>
          <w:rtl/>
        </w:rPr>
        <w:t xml:space="preserve">בית משפט השלום קבע מתחם עונש הולם שבין 12 חודשי מאסר בפועל לבין 30 חודשי </w:t>
      </w:r>
      <w:r w:rsidR="008819A4" w:rsidRPr="00C36A82">
        <w:rPr>
          <w:rFonts w:ascii="David" w:eastAsia="Calibri" w:hAnsi="David" w:hint="cs"/>
          <w:rtl/>
        </w:rPr>
        <w:lastRenderedPageBreak/>
        <w:t>מאסר בפועל. ערעורים מטעם שני הצדדים נדחו, הגם שבית המשפט המחוזי העיר כי הרף התחתון של מתחם העונש ההולם היה צריך להיות גבוה יותר.</w:t>
      </w:r>
    </w:p>
    <w:p w:rsidR="00824885" w:rsidRPr="00775B54" w:rsidRDefault="00824885" w:rsidP="0025229A">
      <w:pPr>
        <w:numPr>
          <w:ilvl w:val="0"/>
          <w:numId w:val="3"/>
        </w:numPr>
        <w:tabs>
          <w:tab w:val="num" w:pos="720"/>
        </w:tabs>
        <w:spacing w:after="120" w:line="360" w:lineRule="auto"/>
        <w:ind w:left="720"/>
        <w:jc w:val="both"/>
        <w:rPr>
          <w:rFonts w:ascii="Tahoma" w:hAnsi="Tahoma"/>
        </w:rPr>
      </w:pPr>
      <w:r>
        <w:rPr>
          <w:rFonts w:ascii="David" w:eastAsia="Calibri" w:hAnsi="David" w:hint="cs"/>
          <w:rtl/>
        </w:rPr>
        <w:t xml:space="preserve">לאור מכלול שיקולים </w:t>
      </w:r>
      <w:r w:rsidR="00500E8F">
        <w:rPr>
          <w:rFonts w:ascii="David" w:eastAsia="Calibri" w:hAnsi="David"/>
          <w:rtl/>
        </w:rPr>
        <w:t>אלה</w:t>
      </w:r>
      <w:r>
        <w:rPr>
          <w:rFonts w:ascii="David" w:eastAsia="Calibri" w:hAnsi="David" w:hint="cs"/>
          <w:rtl/>
        </w:rPr>
        <w:t xml:space="preserve"> אני קובע אפוא את </w:t>
      </w:r>
      <w:r w:rsidR="00500E8F">
        <w:rPr>
          <w:rFonts w:ascii="David" w:eastAsia="Calibri" w:hAnsi="David"/>
          <w:rtl/>
        </w:rPr>
        <w:t>מתחם העונש הה</w:t>
      </w:r>
      <w:r>
        <w:rPr>
          <w:rFonts w:ascii="David" w:eastAsia="Calibri" w:hAnsi="David" w:hint="cs"/>
          <w:rtl/>
        </w:rPr>
        <w:t>ו</w:t>
      </w:r>
      <w:r w:rsidR="00500E8F">
        <w:rPr>
          <w:rFonts w:ascii="David" w:eastAsia="Calibri" w:hAnsi="David"/>
          <w:rtl/>
        </w:rPr>
        <w:t>לם</w:t>
      </w:r>
      <w:r>
        <w:rPr>
          <w:rFonts w:ascii="David" w:eastAsia="Calibri" w:hAnsi="David" w:hint="cs"/>
          <w:rtl/>
        </w:rPr>
        <w:t xml:space="preserve">, במקרה </w:t>
      </w:r>
      <w:r w:rsidR="00500E8F">
        <w:rPr>
          <w:rFonts w:ascii="David" w:eastAsia="Calibri" w:hAnsi="David"/>
          <w:rtl/>
        </w:rPr>
        <w:t>זה</w:t>
      </w:r>
      <w:r>
        <w:rPr>
          <w:rFonts w:ascii="David" w:eastAsia="Calibri" w:hAnsi="David" w:hint="cs"/>
          <w:rtl/>
        </w:rPr>
        <w:t>,</w:t>
      </w:r>
      <w:r>
        <w:rPr>
          <w:rFonts w:ascii="David" w:eastAsia="Calibri" w:hAnsi="David"/>
          <w:rtl/>
        </w:rPr>
        <w:t xml:space="preserve"> בין </w:t>
      </w:r>
      <w:r>
        <w:rPr>
          <w:rFonts w:ascii="David" w:eastAsia="Calibri" w:hAnsi="David" w:hint="cs"/>
          <w:rtl/>
        </w:rPr>
        <w:t>30</w:t>
      </w:r>
      <w:r w:rsidR="00500E8F">
        <w:rPr>
          <w:rFonts w:ascii="David" w:eastAsia="Calibri" w:hAnsi="David"/>
          <w:rtl/>
        </w:rPr>
        <w:t xml:space="preserve"> </w:t>
      </w:r>
      <w:r>
        <w:rPr>
          <w:rFonts w:ascii="David" w:eastAsia="Calibri" w:hAnsi="David"/>
          <w:rtl/>
        </w:rPr>
        <w:t xml:space="preserve">חודשי מאסר בפועל לבין </w:t>
      </w:r>
      <w:r w:rsidR="0025229A">
        <w:rPr>
          <w:rFonts w:ascii="David" w:eastAsia="Calibri" w:hAnsi="David" w:hint="cs"/>
          <w:rtl/>
        </w:rPr>
        <w:t>54</w:t>
      </w:r>
      <w:r w:rsidR="00500E8F">
        <w:rPr>
          <w:rFonts w:ascii="David" w:eastAsia="Calibri" w:hAnsi="David"/>
          <w:rtl/>
        </w:rPr>
        <w:t xml:space="preserve"> חודשי מאסר בפועל.</w:t>
      </w:r>
      <w:r w:rsidR="00775B54">
        <w:rPr>
          <w:rFonts w:ascii="Tahoma" w:hAnsi="Tahoma" w:hint="cs"/>
          <w:rtl/>
        </w:rPr>
        <w:t xml:space="preserve"> </w:t>
      </w:r>
      <w:r w:rsidRPr="00775B54">
        <w:rPr>
          <w:rFonts w:ascii="David" w:eastAsia="Calibri" w:hAnsi="David"/>
          <w:rtl/>
        </w:rPr>
        <w:t>כיוון שמדובר ב</w:t>
      </w:r>
      <w:r w:rsidR="00775B54">
        <w:rPr>
          <w:rFonts w:ascii="David" w:eastAsia="Calibri" w:hAnsi="David" w:hint="cs"/>
          <w:rtl/>
        </w:rPr>
        <w:t xml:space="preserve">עבירות כלכליות </w:t>
      </w:r>
      <w:r w:rsidRPr="00775B54">
        <w:rPr>
          <w:rFonts w:ascii="David" w:eastAsia="Calibri" w:hAnsi="David"/>
          <w:rtl/>
        </w:rPr>
        <w:t xml:space="preserve">יש להשית גם ענישה כלכלית ממשית. </w:t>
      </w:r>
      <w:r w:rsidR="00C36A82">
        <w:rPr>
          <w:rFonts w:ascii="David" w:eastAsia="Calibri" w:hAnsi="David" w:hint="cs"/>
          <w:rtl/>
        </w:rPr>
        <w:t xml:space="preserve">עם זאת, </w:t>
      </w:r>
      <w:r w:rsidRPr="00775B54">
        <w:rPr>
          <w:rFonts w:ascii="David" w:eastAsia="Calibri" w:hAnsi="David"/>
          <w:rtl/>
        </w:rPr>
        <w:t xml:space="preserve">מנעד הענישה הנוהג </w:t>
      </w:r>
      <w:r w:rsidR="00C36A82">
        <w:rPr>
          <w:rFonts w:ascii="David" w:eastAsia="Calibri" w:hAnsi="David" w:hint="cs"/>
          <w:rtl/>
        </w:rPr>
        <w:t xml:space="preserve">בענישה הכלכלית הוא רחב, כאשר </w:t>
      </w:r>
      <w:r w:rsidRPr="00775B54">
        <w:rPr>
          <w:rFonts w:ascii="David" w:eastAsia="Calibri" w:hAnsi="David"/>
          <w:rtl/>
        </w:rPr>
        <w:t xml:space="preserve">בהקשר </w:t>
      </w:r>
      <w:r w:rsidR="00C36A82">
        <w:rPr>
          <w:rFonts w:ascii="David" w:eastAsia="Calibri" w:hAnsi="David" w:hint="cs"/>
          <w:rtl/>
        </w:rPr>
        <w:t>ל</w:t>
      </w:r>
      <w:r w:rsidRPr="00775B54">
        <w:rPr>
          <w:rFonts w:ascii="David" w:eastAsia="Calibri" w:hAnsi="David"/>
          <w:rtl/>
        </w:rPr>
        <w:t xml:space="preserve">קביעת מתחם הקנס ההולם יש להתחשב </w:t>
      </w:r>
      <w:r w:rsidR="00C36A82">
        <w:rPr>
          <w:rFonts w:ascii="David" w:eastAsia="Calibri" w:hAnsi="David" w:hint="cs"/>
          <w:rtl/>
        </w:rPr>
        <w:t xml:space="preserve">גם במצבו </w:t>
      </w:r>
      <w:r w:rsidR="00BA1F7D">
        <w:rPr>
          <w:rFonts w:ascii="David" w:eastAsia="Calibri" w:hAnsi="David"/>
          <w:rtl/>
        </w:rPr>
        <w:t>הכלכלי של הנאש</w:t>
      </w:r>
      <w:r w:rsidR="00BA1F7D">
        <w:rPr>
          <w:rFonts w:ascii="David" w:eastAsia="Calibri" w:hAnsi="David" w:hint="cs"/>
          <w:rtl/>
        </w:rPr>
        <w:t>ם</w:t>
      </w:r>
      <w:r w:rsidR="004A5084">
        <w:rPr>
          <w:rFonts w:ascii="David" w:eastAsia="Calibri" w:hAnsi="David" w:hint="cs"/>
          <w:rtl/>
        </w:rPr>
        <w:t xml:space="preserve"> (בהתאם ל</w:t>
      </w:r>
      <w:r w:rsidRPr="00775B54">
        <w:rPr>
          <w:rFonts w:ascii="David" w:eastAsia="Calibri" w:hAnsi="David"/>
          <w:rtl/>
        </w:rPr>
        <w:t>הוראות סעיף 40ח לחוק העונשין</w:t>
      </w:r>
      <w:r w:rsidR="00C36A82">
        <w:rPr>
          <w:rFonts w:ascii="David" w:eastAsia="Calibri" w:hAnsi="David" w:hint="cs"/>
          <w:rtl/>
        </w:rPr>
        <w:t>)</w:t>
      </w:r>
      <w:r w:rsidRPr="00775B54">
        <w:rPr>
          <w:rFonts w:ascii="David" w:eastAsia="Calibri" w:hAnsi="David"/>
          <w:rtl/>
        </w:rPr>
        <w:t xml:space="preserve">. </w:t>
      </w:r>
      <w:r w:rsidR="00C36A82">
        <w:rPr>
          <w:rFonts w:ascii="David" w:eastAsia="Calibri" w:hAnsi="David" w:hint="cs"/>
          <w:rtl/>
        </w:rPr>
        <w:t>בנסיבות אלה, ו</w:t>
      </w:r>
      <w:r w:rsidR="00BA1F7D">
        <w:rPr>
          <w:rFonts w:ascii="David" w:eastAsia="Calibri" w:hAnsi="David" w:hint="cs"/>
          <w:rtl/>
        </w:rPr>
        <w:t>בהתח</w:t>
      </w:r>
      <w:r w:rsidR="00571285">
        <w:rPr>
          <w:rFonts w:ascii="David" w:eastAsia="Calibri" w:hAnsi="David" w:hint="cs"/>
          <w:rtl/>
        </w:rPr>
        <w:t>ש</w:t>
      </w:r>
      <w:r w:rsidR="00BA1F7D">
        <w:rPr>
          <w:rFonts w:ascii="David" w:eastAsia="Calibri" w:hAnsi="David" w:hint="cs"/>
          <w:rtl/>
        </w:rPr>
        <w:t>ב בכך שעסקינן בנאשם ש</w:t>
      </w:r>
      <w:r w:rsidR="00571285">
        <w:rPr>
          <w:rFonts w:ascii="David" w:eastAsia="Calibri" w:hAnsi="David" w:hint="cs"/>
          <w:rtl/>
        </w:rPr>
        <w:t xml:space="preserve">הוצא </w:t>
      </w:r>
      <w:r w:rsidR="0025229A">
        <w:rPr>
          <w:rFonts w:ascii="David" w:eastAsia="Calibri" w:hAnsi="David" w:hint="cs"/>
          <w:rtl/>
        </w:rPr>
        <w:t xml:space="preserve">בעניינו </w:t>
      </w:r>
      <w:r w:rsidR="00C36A82">
        <w:rPr>
          <w:rFonts w:ascii="David" w:eastAsia="Calibri" w:hAnsi="David" w:hint="cs"/>
          <w:rtl/>
        </w:rPr>
        <w:t xml:space="preserve">צו כינוס, </w:t>
      </w:r>
      <w:r w:rsidRPr="00775B54">
        <w:rPr>
          <w:rFonts w:ascii="David" w:eastAsia="Calibri" w:hAnsi="David"/>
          <w:rtl/>
        </w:rPr>
        <w:t xml:space="preserve">אני קובע את מתחם הקנס ההולם בין </w:t>
      </w:r>
      <w:r w:rsidR="00C36A82">
        <w:rPr>
          <w:rFonts w:ascii="David" w:eastAsia="Calibri" w:hAnsi="David" w:hint="cs"/>
          <w:rtl/>
        </w:rPr>
        <w:t>8</w:t>
      </w:r>
      <w:r w:rsidRPr="00775B54">
        <w:rPr>
          <w:rFonts w:ascii="David" w:eastAsia="Calibri" w:hAnsi="David"/>
          <w:rtl/>
        </w:rPr>
        <w:t xml:space="preserve">0,000 ₪ לבין </w:t>
      </w:r>
      <w:r w:rsidR="00C36A82">
        <w:rPr>
          <w:rFonts w:ascii="David" w:eastAsia="Calibri" w:hAnsi="David" w:hint="cs"/>
          <w:rtl/>
        </w:rPr>
        <w:t>2</w:t>
      </w:r>
      <w:r w:rsidRPr="00775B54">
        <w:rPr>
          <w:rFonts w:ascii="David" w:eastAsia="Calibri" w:hAnsi="David"/>
          <w:rtl/>
        </w:rPr>
        <w:t>50,000 ₪</w:t>
      </w:r>
      <w:r w:rsidR="00C36A82">
        <w:rPr>
          <w:rFonts w:ascii="David" w:eastAsia="Calibri" w:hAnsi="David" w:hint="cs"/>
          <w:rtl/>
        </w:rPr>
        <w:t>.</w:t>
      </w:r>
    </w:p>
    <w:p w:rsidR="00571285" w:rsidRDefault="004A5084" w:rsidP="00110808">
      <w:pPr>
        <w:numPr>
          <w:ilvl w:val="0"/>
          <w:numId w:val="3"/>
        </w:numPr>
        <w:tabs>
          <w:tab w:val="num" w:pos="720"/>
        </w:tabs>
        <w:spacing w:after="120" w:line="360" w:lineRule="auto"/>
        <w:ind w:left="720"/>
        <w:jc w:val="both"/>
        <w:rPr>
          <w:rFonts w:ascii="Tahoma" w:hAnsi="Tahoma"/>
        </w:rPr>
      </w:pPr>
      <w:r w:rsidRPr="005B0F84">
        <w:rPr>
          <w:rFonts w:ascii="Tahoma" w:hAnsi="Tahoma" w:hint="cs"/>
          <w:rtl/>
        </w:rPr>
        <w:t xml:space="preserve">ב"כ הנאשם חזר וטען כי מרשו </w:t>
      </w:r>
      <w:r w:rsidR="005B0F84" w:rsidRPr="005B0F84">
        <w:rPr>
          <w:rFonts w:ascii="Tahoma" w:hAnsi="Tahoma" w:hint="cs"/>
          <w:rtl/>
        </w:rPr>
        <w:t xml:space="preserve">נמצא </w:t>
      </w:r>
      <w:r w:rsidRPr="005B0F84">
        <w:rPr>
          <w:rFonts w:ascii="Tahoma" w:hAnsi="Tahoma" w:hint="cs"/>
          <w:rtl/>
        </w:rPr>
        <w:t>במצב בריאותי פיסי ונפשי קשה</w:t>
      </w:r>
      <w:r w:rsidR="005B0F84" w:rsidRPr="005B0F84">
        <w:rPr>
          <w:rFonts w:ascii="Tahoma" w:hAnsi="Tahoma" w:hint="cs"/>
          <w:rtl/>
        </w:rPr>
        <w:t xml:space="preserve"> מאוד</w:t>
      </w:r>
      <w:r w:rsidRPr="005B0F84">
        <w:rPr>
          <w:rFonts w:ascii="Tahoma" w:hAnsi="Tahoma" w:hint="cs"/>
          <w:rtl/>
        </w:rPr>
        <w:t xml:space="preserve">, עד כדי כך שאם ייגזר </w:t>
      </w:r>
      <w:r w:rsidR="00110808">
        <w:rPr>
          <w:rFonts w:ascii="Tahoma" w:hAnsi="Tahoma" w:hint="cs"/>
          <w:rtl/>
        </w:rPr>
        <w:t xml:space="preserve">דינו </w:t>
      </w:r>
      <w:r w:rsidRPr="005B0F84">
        <w:rPr>
          <w:rFonts w:ascii="Tahoma" w:hAnsi="Tahoma" w:hint="cs"/>
          <w:rtl/>
        </w:rPr>
        <w:t>ל</w:t>
      </w:r>
      <w:r w:rsidR="00BA1F7D" w:rsidRPr="005B0F84">
        <w:rPr>
          <w:rFonts w:ascii="Tahoma" w:hAnsi="Tahoma" w:hint="cs"/>
          <w:rtl/>
        </w:rPr>
        <w:t xml:space="preserve">עונש של </w:t>
      </w:r>
      <w:r w:rsidRPr="005B0F84">
        <w:rPr>
          <w:rFonts w:ascii="Tahoma" w:hAnsi="Tahoma" w:hint="cs"/>
          <w:rtl/>
        </w:rPr>
        <w:t xml:space="preserve">מאסר בפועל </w:t>
      </w:r>
      <w:r w:rsidR="005B0F84" w:rsidRPr="005B0F84">
        <w:rPr>
          <w:rFonts w:ascii="Tahoma" w:hAnsi="Tahoma"/>
          <w:rtl/>
        </w:rPr>
        <w:t>–</w:t>
      </w:r>
      <w:r w:rsidR="005B0F84" w:rsidRPr="005B0F84">
        <w:rPr>
          <w:rFonts w:ascii="Tahoma" w:hAnsi="Tahoma" w:hint="cs"/>
          <w:rtl/>
        </w:rPr>
        <w:t xml:space="preserve"> לנשיאה </w:t>
      </w:r>
      <w:r w:rsidR="00BA1F7D" w:rsidRPr="005B0F84">
        <w:rPr>
          <w:rFonts w:ascii="Tahoma" w:hAnsi="Tahoma" w:hint="cs"/>
          <w:rtl/>
        </w:rPr>
        <w:t xml:space="preserve">מאחורי סורג ובריח </w:t>
      </w:r>
      <w:r w:rsidR="005B0F84" w:rsidRPr="005B0F84">
        <w:rPr>
          <w:rFonts w:ascii="Tahoma" w:hAnsi="Tahoma"/>
          <w:rtl/>
        </w:rPr>
        <w:t>–</w:t>
      </w:r>
      <w:r w:rsidR="005B0F84" w:rsidRPr="005B0F84">
        <w:rPr>
          <w:rFonts w:ascii="Tahoma" w:hAnsi="Tahoma" w:hint="cs"/>
          <w:rtl/>
        </w:rPr>
        <w:t xml:space="preserve"> </w:t>
      </w:r>
      <w:r w:rsidR="007A0B0D" w:rsidRPr="005B0F84">
        <w:rPr>
          <w:rFonts w:ascii="Tahoma" w:hAnsi="Tahoma" w:hint="cs"/>
          <w:rtl/>
        </w:rPr>
        <w:t>ע</w:t>
      </w:r>
      <w:r w:rsidRPr="005B0F84">
        <w:rPr>
          <w:rFonts w:ascii="David" w:eastAsia="Calibri" w:hAnsi="David"/>
          <w:rtl/>
        </w:rPr>
        <w:t xml:space="preserve">לולה להיווצר סכנה ברורה ומידית לחייו. </w:t>
      </w:r>
      <w:r w:rsidR="007A0B0D" w:rsidRPr="005B0F84">
        <w:rPr>
          <w:rFonts w:ascii="Tahoma" w:hAnsi="Tahoma" w:hint="cs"/>
          <w:rtl/>
        </w:rPr>
        <w:t xml:space="preserve">ואולם, טענה </w:t>
      </w:r>
      <w:r w:rsidR="005B0F84" w:rsidRPr="005B0F84">
        <w:rPr>
          <w:rFonts w:ascii="Tahoma" w:hAnsi="Tahoma" w:hint="cs"/>
          <w:rtl/>
        </w:rPr>
        <w:t xml:space="preserve">חוזרת </w:t>
      </w:r>
      <w:r w:rsidR="00110808">
        <w:rPr>
          <w:rFonts w:ascii="Tahoma" w:hAnsi="Tahoma" w:hint="cs"/>
          <w:rtl/>
        </w:rPr>
        <w:t>זו לא גובתה בראיות מתאימות</w:t>
      </w:r>
      <w:r w:rsidR="007A0B0D" w:rsidRPr="005B0F84">
        <w:rPr>
          <w:rFonts w:ascii="Tahoma" w:hAnsi="Tahoma" w:hint="cs"/>
          <w:rtl/>
        </w:rPr>
        <w:t xml:space="preserve">, כגון חוות דעת רפואית הקובעת כך, ובתעודות הרפואיות שהוגשו </w:t>
      </w:r>
      <w:r w:rsidR="007A0B0D" w:rsidRPr="005B0F84">
        <w:rPr>
          <w:rFonts w:ascii="Tahoma" w:hAnsi="Tahoma"/>
          <w:rtl/>
        </w:rPr>
        <w:t>–</w:t>
      </w:r>
      <w:r w:rsidR="00BA1F7D" w:rsidRPr="005B0F84">
        <w:rPr>
          <w:rFonts w:ascii="Tahoma" w:hAnsi="Tahoma" w:hint="cs"/>
          <w:rtl/>
        </w:rPr>
        <w:t xml:space="preserve"> הן</w:t>
      </w:r>
      <w:r w:rsidR="007A0B0D" w:rsidRPr="005B0F84">
        <w:rPr>
          <w:rFonts w:ascii="Tahoma" w:hAnsi="Tahoma" w:hint="cs"/>
          <w:rtl/>
        </w:rPr>
        <w:t xml:space="preserve"> </w:t>
      </w:r>
      <w:r w:rsidR="00BA1F7D" w:rsidRPr="005B0F84">
        <w:rPr>
          <w:rFonts w:ascii="Tahoma" w:hAnsi="Tahoma" w:hint="cs"/>
          <w:rtl/>
        </w:rPr>
        <w:t>במסגרת שמיעת הראיות והן</w:t>
      </w:r>
      <w:r w:rsidR="007A0B0D" w:rsidRPr="005B0F84">
        <w:rPr>
          <w:rFonts w:ascii="Tahoma" w:hAnsi="Tahoma" w:hint="cs"/>
          <w:rtl/>
        </w:rPr>
        <w:t xml:space="preserve"> במסגרת הטיעונים לעונש </w:t>
      </w:r>
      <w:r w:rsidR="007A0B0D" w:rsidRPr="005B0F84">
        <w:rPr>
          <w:rFonts w:ascii="Tahoma" w:hAnsi="Tahoma"/>
          <w:rtl/>
        </w:rPr>
        <w:t>–</w:t>
      </w:r>
      <w:r w:rsidR="007A0B0D" w:rsidRPr="005B0F84">
        <w:rPr>
          <w:rFonts w:ascii="Tahoma" w:hAnsi="Tahoma" w:hint="cs"/>
          <w:rtl/>
        </w:rPr>
        <w:t xml:space="preserve"> אין </w:t>
      </w:r>
      <w:r w:rsidR="00571285">
        <w:rPr>
          <w:rFonts w:ascii="Tahoma" w:hAnsi="Tahoma" w:hint="cs"/>
          <w:rtl/>
        </w:rPr>
        <w:t>קביעה כי הנאשם אינו כשיר ל</w:t>
      </w:r>
      <w:r w:rsidR="00655BF6">
        <w:rPr>
          <w:rFonts w:ascii="Tahoma" w:hAnsi="Tahoma" w:hint="cs"/>
          <w:rtl/>
        </w:rPr>
        <w:t xml:space="preserve">נשיאת </w:t>
      </w:r>
      <w:r w:rsidR="00571285">
        <w:rPr>
          <w:rFonts w:ascii="Tahoma" w:hAnsi="Tahoma" w:hint="cs"/>
          <w:rtl/>
        </w:rPr>
        <w:t>מאסר.</w:t>
      </w:r>
    </w:p>
    <w:p w:rsidR="00BA1F7D" w:rsidRPr="005B0F84" w:rsidRDefault="007A0B0D" w:rsidP="00571285">
      <w:pPr>
        <w:numPr>
          <w:ilvl w:val="0"/>
          <w:numId w:val="3"/>
        </w:numPr>
        <w:tabs>
          <w:tab w:val="num" w:pos="720"/>
        </w:tabs>
        <w:spacing w:after="120" w:line="360" w:lineRule="auto"/>
        <w:ind w:left="720"/>
        <w:jc w:val="both"/>
        <w:rPr>
          <w:rFonts w:ascii="Tahoma" w:hAnsi="Tahoma"/>
        </w:rPr>
      </w:pPr>
      <w:r w:rsidRPr="005B0F84">
        <w:rPr>
          <w:rFonts w:ascii="Tahoma" w:hAnsi="Tahoma" w:hint="cs"/>
          <w:rtl/>
        </w:rPr>
        <w:t xml:space="preserve">לא למותר </w:t>
      </w:r>
      <w:r w:rsidR="00571285">
        <w:rPr>
          <w:rFonts w:ascii="Tahoma" w:hAnsi="Tahoma" w:hint="cs"/>
          <w:rtl/>
        </w:rPr>
        <w:t>להוסיף ו</w:t>
      </w:r>
      <w:r w:rsidRPr="005B0F84">
        <w:rPr>
          <w:rFonts w:ascii="Tahoma" w:hAnsi="Tahoma" w:hint="cs"/>
          <w:rtl/>
        </w:rPr>
        <w:t>לציין</w:t>
      </w:r>
      <w:r w:rsidR="005B0F84">
        <w:rPr>
          <w:rFonts w:ascii="Tahoma" w:hAnsi="Tahoma" w:hint="cs"/>
          <w:rtl/>
        </w:rPr>
        <w:t xml:space="preserve"> כאן</w:t>
      </w:r>
      <w:r w:rsidR="00110808">
        <w:rPr>
          <w:rFonts w:ascii="Tahoma" w:hAnsi="Tahoma" w:hint="cs"/>
          <w:rtl/>
        </w:rPr>
        <w:t>,</w:t>
      </w:r>
      <w:r w:rsidR="005B0F84">
        <w:rPr>
          <w:rFonts w:ascii="Tahoma" w:hAnsi="Tahoma" w:hint="cs"/>
          <w:rtl/>
        </w:rPr>
        <w:t xml:space="preserve"> </w:t>
      </w:r>
      <w:r w:rsidRPr="005B0F84">
        <w:rPr>
          <w:rFonts w:ascii="Tahoma" w:hAnsi="Tahoma" w:hint="cs"/>
          <w:rtl/>
        </w:rPr>
        <w:t>כי האפשרות הצרה לחריגה ממתחם העונש ההולם</w:t>
      </w:r>
      <w:r w:rsidR="00BA1F7D" w:rsidRPr="005B0F84">
        <w:rPr>
          <w:rFonts w:ascii="Tahoma" w:hAnsi="Tahoma" w:hint="cs"/>
          <w:rtl/>
        </w:rPr>
        <w:t xml:space="preserve"> מטעמי בריאות</w:t>
      </w:r>
      <w:r w:rsidRPr="005B0F84">
        <w:rPr>
          <w:rFonts w:ascii="Tahoma" w:hAnsi="Tahoma" w:hint="cs"/>
          <w:rtl/>
        </w:rPr>
        <w:t xml:space="preserve">, שהוכרה בפסיקה, נקבעה בתנאים מוגדרים ומתוחמים היטב </w:t>
      </w:r>
      <w:r w:rsidRPr="005B0F84">
        <w:rPr>
          <w:rFonts w:ascii="David" w:eastAsia="Calibri" w:hAnsi="David"/>
          <w:rtl/>
        </w:rPr>
        <w:t xml:space="preserve">(ע"פ 4456/14 </w:t>
      </w:r>
      <w:r w:rsidRPr="005B0F84">
        <w:rPr>
          <w:rFonts w:ascii="David" w:eastAsia="Calibri" w:hAnsi="David"/>
          <w:b/>
          <w:bCs/>
          <w:rtl/>
        </w:rPr>
        <w:t>קלנר נ' מדינת ישראל</w:t>
      </w:r>
      <w:r w:rsidRPr="005B0F84">
        <w:rPr>
          <w:rFonts w:ascii="David" w:eastAsia="Calibri" w:hAnsi="David"/>
          <w:rtl/>
        </w:rPr>
        <w:t xml:space="preserve"> (29.12.2015))</w:t>
      </w:r>
      <w:r w:rsidR="00BA1F7D" w:rsidRPr="005B0F84">
        <w:rPr>
          <w:rFonts w:ascii="David" w:eastAsia="Calibri" w:hAnsi="David" w:hint="cs"/>
          <w:rtl/>
        </w:rPr>
        <w:t>;</w:t>
      </w:r>
      <w:r w:rsidRPr="005B0F84">
        <w:rPr>
          <w:rFonts w:ascii="David" w:eastAsia="Calibri" w:hAnsi="David" w:hint="cs"/>
          <w:rtl/>
        </w:rPr>
        <w:t xml:space="preserve"> ואף לא נטען לפניי כי </w:t>
      </w:r>
      <w:r w:rsidR="00BA1F7D" w:rsidRPr="005B0F84">
        <w:rPr>
          <w:rFonts w:ascii="David" w:eastAsia="Calibri" w:hAnsi="David" w:hint="cs"/>
          <w:rtl/>
        </w:rPr>
        <w:t>הנאשם עומד בתנאי הלכה זו.</w:t>
      </w:r>
      <w:r w:rsidR="005B0F84" w:rsidRPr="005B0F84">
        <w:rPr>
          <w:rFonts w:ascii="Tahoma" w:hAnsi="Tahoma" w:hint="cs"/>
          <w:rtl/>
        </w:rPr>
        <w:t xml:space="preserve"> </w:t>
      </w:r>
      <w:r w:rsidR="00110808">
        <w:rPr>
          <w:rFonts w:ascii="David" w:eastAsia="Calibri" w:hAnsi="David" w:hint="cs"/>
          <w:rtl/>
        </w:rPr>
        <w:t xml:space="preserve">בנוסף, </w:t>
      </w:r>
      <w:r w:rsidR="00BA1F7D" w:rsidRPr="005B0F84">
        <w:rPr>
          <w:rFonts w:ascii="David" w:eastAsia="Calibri" w:hAnsi="David" w:hint="cs"/>
          <w:rtl/>
        </w:rPr>
        <w:t>נוכח טיעוני ה</w:t>
      </w:r>
      <w:r w:rsidR="00110808">
        <w:rPr>
          <w:rFonts w:ascii="David" w:eastAsia="Calibri" w:hAnsi="David" w:hint="cs"/>
          <w:rtl/>
        </w:rPr>
        <w:t xml:space="preserve">סניגור </w:t>
      </w:r>
      <w:r w:rsidR="00571285">
        <w:rPr>
          <w:rFonts w:ascii="David" w:eastAsia="Calibri" w:hAnsi="David" w:hint="cs"/>
          <w:rtl/>
        </w:rPr>
        <w:t xml:space="preserve">יש להעיר </w:t>
      </w:r>
      <w:r w:rsidR="00BA1F7D" w:rsidRPr="005B0F84">
        <w:rPr>
          <w:rFonts w:ascii="David" w:eastAsia="Calibri" w:hAnsi="David" w:hint="cs"/>
          <w:rtl/>
        </w:rPr>
        <w:t xml:space="preserve">כי </w:t>
      </w:r>
      <w:r w:rsidR="00BA1F7D" w:rsidRPr="005B0F84">
        <w:rPr>
          <w:rFonts w:ascii="David" w:eastAsia="Calibri" w:hAnsi="David"/>
          <w:rtl/>
        </w:rPr>
        <w:t>ההתחשבות בנסיבותי</w:t>
      </w:r>
      <w:r w:rsidR="00110808">
        <w:rPr>
          <w:rFonts w:ascii="David" w:eastAsia="Calibri" w:hAnsi="David" w:hint="cs"/>
          <w:rtl/>
        </w:rPr>
        <w:t>ו האישיות</w:t>
      </w:r>
      <w:r w:rsidR="00BA1F7D" w:rsidRPr="005B0F84">
        <w:rPr>
          <w:rFonts w:ascii="David" w:eastAsia="Calibri" w:hAnsi="David" w:hint="cs"/>
          <w:rtl/>
        </w:rPr>
        <w:t xml:space="preserve"> של הנאשם, כמו גם </w:t>
      </w:r>
      <w:r w:rsidR="005B0F84" w:rsidRPr="005B0F84">
        <w:rPr>
          <w:rFonts w:ascii="Tahoma" w:hAnsi="Tahoma" w:hint="cs"/>
          <w:rtl/>
        </w:rPr>
        <w:t xml:space="preserve">בחלוף הזמן מאז ביצוע העבירות, היא עניין לגזירת העונש בתוך מתחם העונש ההולם ולא לקביעת מתחם העונש עצמו (ר' </w:t>
      </w:r>
      <w:r w:rsidR="00BA1F7D" w:rsidRPr="005B0F84">
        <w:rPr>
          <w:rFonts w:ascii="David" w:eastAsia="Calibri" w:hAnsi="David"/>
          <w:rtl/>
        </w:rPr>
        <w:t>רע"פ 1929/18 </w:t>
      </w:r>
      <w:r w:rsidR="00BA1F7D" w:rsidRPr="005B0F84">
        <w:rPr>
          <w:rFonts w:ascii="David" w:eastAsia="Calibri" w:hAnsi="David"/>
          <w:b/>
          <w:bCs/>
          <w:rtl/>
        </w:rPr>
        <w:t>אריאלי נ' מדינת ישראל</w:t>
      </w:r>
      <w:r w:rsidR="00BA1F7D" w:rsidRPr="005B0F84">
        <w:rPr>
          <w:rFonts w:ascii="David" w:eastAsia="Calibri" w:hAnsi="David"/>
          <w:rtl/>
        </w:rPr>
        <w:t> (26.04.2018) בפסקה 8 ואילך להחלטה</w:t>
      </w:r>
      <w:r w:rsidR="005B0F84" w:rsidRPr="005B0F84">
        <w:rPr>
          <w:rFonts w:ascii="Tahoma" w:hAnsi="Tahoma" w:hint="cs"/>
          <w:rtl/>
        </w:rPr>
        <w:t>).</w:t>
      </w:r>
    </w:p>
    <w:p w:rsidR="00764BD4" w:rsidRPr="00571285" w:rsidRDefault="00764BD4" w:rsidP="00627467">
      <w:pPr>
        <w:spacing w:after="120" w:line="360" w:lineRule="auto"/>
        <w:jc w:val="both"/>
        <w:rPr>
          <w:rtl/>
        </w:rPr>
      </w:pPr>
    </w:p>
    <w:p w:rsidR="00764BD4" w:rsidRPr="00CE1F20" w:rsidRDefault="00F007AE" w:rsidP="00CE1F20">
      <w:pPr>
        <w:snapToGrid w:val="0"/>
        <w:spacing w:after="120" w:line="360" w:lineRule="auto"/>
        <w:jc w:val="both"/>
        <w:rPr>
          <w:b/>
          <w:bCs/>
          <w:u w:val="single"/>
          <w:rtl/>
        </w:rPr>
      </w:pPr>
      <w:r>
        <w:rPr>
          <w:rFonts w:hint="cs"/>
          <w:b/>
          <w:bCs/>
          <w:rtl/>
        </w:rPr>
        <w:t>ה</w:t>
      </w:r>
      <w:r w:rsidR="00764BD4" w:rsidRPr="00CE1F20">
        <w:rPr>
          <w:rFonts w:hint="cs"/>
          <w:b/>
          <w:bCs/>
          <w:rtl/>
        </w:rPr>
        <w:t>.</w:t>
      </w:r>
      <w:r w:rsidR="00764BD4" w:rsidRPr="00CE1F20">
        <w:rPr>
          <w:b/>
          <w:bCs/>
          <w:rtl/>
        </w:rPr>
        <w:tab/>
      </w:r>
      <w:r w:rsidR="00764BD4" w:rsidRPr="00CE1F20">
        <w:rPr>
          <w:rFonts w:hint="cs"/>
          <w:b/>
          <w:bCs/>
          <w:u w:val="single"/>
          <w:rtl/>
        </w:rPr>
        <w:t>גזירת עונשו של הנאשם בתוך מתחם העונש ההולם:</w:t>
      </w:r>
    </w:p>
    <w:p w:rsidR="00764BD4" w:rsidRDefault="00764BD4" w:rsidP="00764BD4">
      <w:pPr>
        <w:numPr>
          <w:ilvl w:val="0"/>
          <w:numId w:val="3"/>
        </w:numPr>
        <w:tabs>
          <w:tab w:val="num" w:pos="720"/>
        </w:tabs>
        <w:spacing w:after="120" w:line="360" w:lineRule="auto"/>
        <w:ind w:left="720"/>
        <w:jc w:val="both"/>
        <w:rPr>
          <w:rFonts w:ascii="Tahoma" w:hAnsi="Tahoma"/>
        </w:rPr>
      </w:pPr>
      <w:r>
        <w:rPr>
          <w:rFonts w:hint="cs"/>
          <w:rtl/>
        </w:rPr>
        <w:t xml:space="preserve">לאחר קביעת מתחם העונש ההולם על בית המשפט לגזור את עונשו של הנאשם בתוך מתחם זה </w:t>
      </w:r>
      <w:r>
        <w:rPr>
          <w:rtl/>
        </w:rPr>
        <w:t>–</w:t>
      </w:r>
      <w:r>
        <w:rPr>
          <w:rFonts w:hint="cs"/>
          <w:rtl/>
        </w:rPr>
        <w:t xml:space="preserve"> למעט במקרים יוצאי דופן, בהם הוא רשאי לחרוג מכך, שאין עניינם לכאן </w:t>
      </w:r>
      <w:r>
        <w:rPr>
          <w:rtl/>
        </w:rPr>
        <w:t>–</w:t>
      </w:r>
      <w:r>
        <w:rPr>
          <w:rFonts w:hint="cs"/>
          <w:rtl/>
        </w:rPr>
        <w:t xml:space="preserve"> תוך התחשבות בנסי</w:t>
      </w:r>
      <w:r w:rsidR="00110808">
        <w:rPr>
          <w:rFonts w:hint="cs"/>
          <w:rtl/>
        </w:rPr>
        <w:t>בות שאינן קשורות בביצוע העבירות,</w:t>
      </w:r>
      <w:r w:rsidR="00C23C2A">
        <w:rPr>
          <w:rFonts w:hint="cs"/>
          <w:rtl/>
        </w:rPr>
        <w:t xml:space="preserve"> לרבות הנסיבות הרלוואנטיות</w:t>
      </w:r>
      <w:r w:rsidR="00110808">
        <w:rPr>
          <w:rFonts w:hint="cs"/>
          <w:rtl/>
        </w:rPr>
        <w:t xml:space="preserve"> </w:t>
      </w:r>
      <w:r w:rsidR="00571285">
        <w:rPr>
          <w:rFonts w:hint="cs"/>
          <w:rtl/>
        </w:rPr>
        <w:t xml:space="preserve">מתוך אלה </w:t>
      </w:r>
      <w:r w:rsidR="00110808">
        <w:rPr>
          <w:rFonts w:hint="cs"/>
          <w:rtl/>
        </w:rPr>
        <w:t>המנויות בהוראות סעיף 40יא לחוק העונשין.</w:t>
      </w:r>
    </w:p>
    <w:p w:rsidR="00885C23" w:rsidRDefault="00764BD4" w:rsidP="00EE7D8E">
      <w:pPr>
        <w:numPr>
          <w:ilvl w:val="0"/>
          <w:numId w:val="3"/>
        </w:numPr>
        <w:tabs>
          <w:tab w:val="num" w:pos="720"/>
        </w:tabs>
        <w:spacing w:after="120" w:line="360" w:lineRule="auto"/>
        <w:ind w:left="720"/>
        <w:jc w:val="both"/>
        <w:rPr>
          <w:rFonts w:ascii="Tahoma" w:hAnsi="Tahoma"/>
        </w:rPr>
      </w:pPr>
      <w:r>
        <w:rPr>
          <w:rFonts w:hint="cs"/>
          <w:rtl/>
        </w:rPr>
        <w:t xml:space="preserve">אשר לנאשם שלפניי, </w:t>
      </w:r>
      <w:r w:rsidR="00110808">
        <w:rPr>
          <w:rFonts w:hint="cs"/>
          <w:rtl/>
        </w:rPr>
        <w:t>מדובר ב</w:t>
      </w:r>
      <w:r w:rsidR="00C2056F">
        <w:rPr>
          <w:rFonts w:hint="cs"/>
          <w:rtl/>
        </w:rPr>
        <w:t xml:space="preserve">גבר </w:t>
      </w:r>
      <w:r w:rsidR="001926F0">
        <w:rPr>
          <w:rFonts w:hint="cs"/>
          <w:rtl/>
        </w:rPr>
        <w:t>יליד שנת 1968</w:t>
      </w:r>
      <w:r w:rsidR="00110808">
        <w:rPr>
          <w:rFonts w:hint="cs"/>
          <w:rtl/>
        </w:rPr>
        <w:t xml:space="preserve">, ללא </w:t>
      </w:r>
      <w:r w:rsidR="00EE7D8E">
        <w:rPr>
          <w:rFonts w:hint="cs"/>
          <w:rtl/>
        </w:rPr>
        <w:t xml:space="preserve">כל </w:t>
      </w:r>
      <w:r w:rsidR="00110808">
        <w:rPr>
          <w:rFonts w:hint="cs"/>
          <w:rtl/>
        </w:rPr>
        <w:t>הרשעות קודמות,</w:t>
      </w:r>
      <w:r w:rsidR="00110808" w:rsidRPr="00C23C2A">
        <w:rPr>
          <w:rFonts w:ascii="Tahoma" w:hAnsi="Tahoma" w:hint="cs"/>
          <w:rtl/>
        </w:rPr>
        <w:t xml:space="preserve"> </w:t>
      </w:r>
      <w:r w:rsidR="001926F0">
        <w:rPr>
          <w:rFonts w:ascii="Tahoma" w:hAnsi="Tahoma" w:hint="cs"/>
          <w:rtl/>
        </w:rPr>
        <w:t xml:space="preserve">שניהל כל חייו אורח חיים נורמטיבי. </w:t>
      </w:r>
      <w:r w:rsidR="00C23C2A" w:rsidRPr="00C23C2A">
        <w:rPr>
          <w:rFonts w:ascii="Tahoma" w:hAnsi="Tahoma" w:hint="cs"/>
          <w:rtl/>
        </w:rPr>
        <w:t>בנוסף,</w:t>
      </w:r>
      <w:r w:rsidR="00FB1C8C">
        <w:rPr>
          <w:rFonts w:ascii="Tahoma" w:hAnsi="Tahoma" w:hint="cs"/>
          <w:rtl/>
        </w:rPr>
        <w:t xml:space="preserve"> </w:t>
      </w:r>
      <w:r w:rsidR="00C23C2A" w:rsidRPr="00C23C2A">
        <w:rPr>
          <w:rFonts w:ascii="Tahoma" w:hAnsi="Tahoma" w:hint="cs"/>
          <w:rtl/>
        </w:rPr>
        <w:t>גם על רקע זה</w:t>
      </w:r>
      <w:r w:rsidR="00FB1C8C">
        <w:rPr>
          <w:rFonts w:ascii="Tahoma" w:hAnsi="Tahoma" w:hint="cs"/>
          <w:rtl/>
        </w:rPr>
        <w:t xml:space="preserve"> וגם על רקע מצבו הבריאותי של הנאשם</w:t>
      </w:r>
      <w:r w:rsidR="00C23C2A" w:rsidRPr="00C23C2A">
        <w:rPr>
          <w:rFonts w:ascii="Tahoma" w:hAnsi="Tahoma" w:hint="cs"/>
          <w:rtl/>
        </w:rPr>
        <w:t xml:space="preserve">, ברי כי הטלת עונש של מאסר בפועל תפגע </w:t>
      </w:r>
      <w:r w:rsidR="001926F0">
        <w:rPr>
          <w:rFonts w:ascii="Tahoma" w:hAnsi="Tahoma" w:hint="cs"/>
          <w:rtl/>
        </w:rPr>
        <w:t xml:space="preserve">הן </w:t>
      </w:r>
      <w:r w:rsidR="00C23C2A" w:rsidRPr="00C23C2A">
        <w:rPr>
          <w:rFonts w:ascii="Tahoma" w:hAnsi="Tahoma" w:hint="cs"/>
          <w:rtl/>
        </w:rPr>
        <w:t xml:space="preserve">בנאשם </w:t>
      </w:r>
      <w:r w:rsidR="00FB1C8C">
        <w:rPr>
          <w:rFonts w:ascii="Tahoma" w:hAnsi="Tahoma" w:hint="cs"/>
          <w:rtl/>
        </w:rPr>
        <w:t xml:space="preserve">עצמו </w:t>
      </w:r>
      <w:r w:rsidR="00C23C2A" w:rsidRPr="00C23C2A">
        <w:rPr>
          <w:rFonts w:ascii="Tahoma" w:hAnsi="Tahoma" w:hint="cs"/>
          <w:rtl/>
        </w:rPr>
        <w:t>ו</w:t>
      </w:r>
      <w:r w:rsidR="001926F0">
        <w:rPr>
          <w:rFonts w:ascii="Tahoma" w:hAnsi="Tahoma" w:hint="cs"/>
          <w:rtl/>
        </w:rPr>
        <w:t xml:space="preserve">הן </w:t>
      </w:r>
      <w:r w:rsidR="00C23C2A" w:rsidRPr="00C23C2A">
        <w:rPr>
          <w:rFonts w:ascii="Tahoma" w:hAnsi="Tahoma" w:hint="cs"/>
          <w:rtl/>
        </w:rPr>
        <w:t xml:space="preserve">במשפחתו </w:t>
      </w:r>
      <w:r w:rsidR="001926F0">
        <w:rPr>
          <w:rFonts w:ascii="Tahoma" w:hAnsi="Tahoma" w:hint="cs"/>
          <w:rtl/>
        </w:rPr>
        <w:t>(</w:t>
      </w:r>
      <w:r w:rsidR="00C23C2A" w:rsidRPr="00C23C2A">
        <w:rPr>
          <w:rFonts w:ascii="Tahoma" w:hAnsi="Tahoma" w:hint="cs"/>
          <w:rtl/>
        </w:rPr>
        <w:t>על אף הפרידה מזוגתו</w:t>
      </w:r>
      <w:r w:rsidR="001926F0">
        <w:rPr>
          <w:rFonts w:ascii="Tahoma" w:hAnsi="Tahoma" w:hint="cs"/>
          <w:rtl/>
        </w:rPr>
        <w:t>)</w:t>
      </w:r>
      <w:r w:rsidR="00FB1C8C">
        <w:rPr>
          <w:rFonts w:ascii="Tahoma" w:hAnsi="Tahoma" w:hint="cs"/>
          <w:rtl/>
        </w:rPr>
        <w:t>;</w:t>
      </w:r>
      <w:r w:rsidR="00C23C2A" w:rsidRPr="00C23C2A">
        <w:rPr>
          <w:rFonts w:ascii="Tahoma" w:hAnsi="Tahoma" w:hint="cs"/>
          <w:rtl/>
        </w:rPr>
        <w:t xml:space="preserve"> ויש </w:t>
      </w:r>
      <w:r w:rsidR="00C2056F">
        <w:rPr>
          <w:rFonts w:ascii="Tahoma" w:hAnsi="Tahoma" w:hint="cs"/>
          <w:rtl/>
        </w:rPr>
        <w:t>להתחשב ל</w:t>
      </w:r>
      <w:r w:rsidR="00571285">
        <w:rPr>
          <w:rFonts w:ascii="Tahoma" w:hAnsi="Tahoma" w:hint="cs"/>
          <w:rtl/>
        </w:rPr>
        <w:t xml:space="preserve">כף </w:t>
      </w:r>
      <w:r w:rsidR="00C2056F">
        <w:rPr>
          <w:rFonts w:ascii="Tahoma" w:hAnsi="Tahoma" w:hint="cs"/>
          <w:rtl/>
        </w:rPr>
        <w:t>קולה בנתונים אלה</w:t>
      </w:r>
      <w:r w:rsidR="00C23C2A" w:rsidRPr="00C23C2A">
        <w:rPr>
          <w:rFonts w:ascii="Tahoma" w:hAnsi="Tahoma" w:hint="cs"/>
          <w:rtl/>
        </w:rPr>
        <w:t xml:space="preserve">. אשר לנטילת האחריות </w:t>
      </w:r>
      <w:r w:rsidR="00C23C2A" w:rsidRPr="00C23C2A">
        <w:rPr>
          <w:rFonts w:ascii="Tahoma" w:hAnsi="Tahoma"/>
          <w:rtl/>
        </w:rPr>
        <w:t>–</w:t>
      </w:r>
      <w:r w:rsidR="00C23C2A" w:rsidRPr="00C23C2A">
        <w:rPr>
          <w:rFonts w:ascii="Tahoma" w:hAnsi="Tahoma" w:hint="cs"/>
          <w:rtl/>
        </w:rPr>
        <w:t xml:space="preserve"> חרף גדר המחלוקת המצומצם שהוגדר בתשובה לאישום, הנאשם ניהל </w:t>
      </w:r>
      <w:r w:rsidR="001926F0">
        <w:rPr>
          <w:rFonts w:ascii="Tahoma" w:hAnsi="Tahoma" w:hint="cs"/>
          <w:rtl/>
        </w:rPr>
        <w:t xml:space="preserve">לפניי </w:t>
      </w:r>
      <w:r w:rsidR="00C23C2A" w:rsidRPr="00C23C2A">
        <w:rPr>
          <w:rFonts w:ascii="Tahoma" w:hAnsi="Tahoma" w:hint="cs"/>
          <w:rtl/>
        </w:rPr>
        <w:t>משפט ארוך וממושך, ש</w:t>
      </w:r>
      <w:r w:rsidR="001926F0">
        <w:rPr>
          <w:rFonts w:ascii="Tahoma" w:hAnsi="Tahoma" w:hint="cs"/>
          <w:rtl/>
        </w:rPr>
        <w:t xml:space="preserve">תוך כדי ניהולו </w:t>
      </w:r>
      <w:r w:rsidR="00885C23">
        <w:rPr>
          <w:rFonts w:ascii="Tahoma" w:hAnsi="Tahoma" w:hint="cs"/>
          <w:rtl/>
        </w:rPr>
        <w:t xml:space="preserve">אף </w:t>
      </w:r>
      <w:r w:rsidR="00C23C2A" w:rsidRPr="00C23C2A">
        <w:rPr>
          <w:rFonts w:ascii="Tahoma" w:hAnsi="Tahoma" w:hint="cs"/>
          <w:rtl/>
        </w:rPr>
        <w:t xml:space="preserve">העלה טענות הגנה </w:t>
      </w:r>
      <w:r w:rsidR="00885C23">
        <w:rPr>
          <w:rFonts w:ascii="Tahoma" w:hAnsi="Tahoma" w:hint="cs"/>
          <w:rtl/>
        </w:rPr>
        <w:t xml:space="preserve">שלא נטענו בתשובה לאישום, </w:t>
      </w:r>
      <w:r w:rsidR="00C23C2A" w:rsidRPr="00C23C2A">
        <w:rPr>
          <w:rFonts w:ascii="Tahoma" w:hAnsi="Tahoma" w:hint="cs"/>
          <w:rtl/>
        </w:rPr>
        <w:t xml:space="preserve">לרבות טענה לאי כשירות נפשית שהועלתה </w:t>
      </w:r>
      <w:r w:rsidR="00655BF6">
        <w:rPr>
          <w:rFonts w:ascii="Tahoma" w:hAnsi="Tahoma" w:hint="cs"/>
          <w:rtl/>
        </w:rPr>
        <w:t xml:space="preserve">רק </w:t>
      </w:r>
      <w:r w:rsidR="00C23C2A" w:rsidRPr="00C23C2A">
        <w:rPr>
          <w:rFonts w:ascii="Tahoma" w:hAnsi="Tahoma" w:hint="cs"/>
          <w:rtl/>
        </w:rPr>
        <w:t>לאחר תום פרשת התביעה</w:t>
      </w:r>
      <w:r w:rsidR="00EE7D8E">
        <w:rPr>
          <w:rFonts w:ascii="Tahoma" w:hAnsi="Tahoma" w:hint="cs"/>
          <w:rtl/>
        </w:rPr>
        <w:t xml:space="preserve"> והביאה להתמשכות ניכרת של ההליכים</w:t>
      </w:r>
      <w:r w:rsidR="00C23C2A" w:rsidRPr="00C23C2A">
        <w:rPr>
          <w:rFonts w:ascii="Tahoma" w:hAnsi="Tahoma" w:hint="cs"/>
          <w:rtl/>
        </w:rPr>
        <w:t xml:space="preserve">. </w:t>
      </w:r>
      <w:r w:rsidR="00EE7D8E">
        <w:rPr>
          <w:rFonts w:ascii="Tahoma" w:hAnsi="Tahoma" w:hint="cs"/>
          <w:rtl/>
        </w:rPr>
        <w:t>אכן, זוהי</w:t>
      </w:r>
      <w:r w:rsidR="00C23C2A" w:rsidRPr="00C23C2A">
        <w:rPr>
          <w:rFonts w:ascii="Tahoma" w:hAnsi="Tahoma" w:hint="cs"/>
          <w:rtl/>
        </w:rPr>
        <w:t xml:space="preserve"> </w:t>
      </w:r>
      <w:r w:rsidRPr="00C23C2A">
        <w:rPr>
          <w:rFonts w:ascii="Tahoma" w:hAnsi="Tahoma" w:hint="cs"/>
          <w:rtl/>
        </w:rPr>
        <w:t xml:space="preserve">זכותו הבסיסית של </w:t>
      </w:r>
      <w:r w:rsidR="001926F0">
        <w:rPr>
          <w:rFonts w:ascii="Tahoma" w:hAnsi="Tahoma" w:hint="cs"/>
          <w:rtl/>
        </w:rPr>
        <w:t>ה</w:t>
      </w:r>
      <w:r w:rsidRPr="00C23C2A">
        <w:rPr>
          <w:rFonts w:ascii="Tahoma" w:hAnsi="Tahoma" w:hint="cs"/>
          <w:rtl/>
        </w:rPr>
        <w:t>נאשם לעמוד על ניהול משפטו במלואו ו</w:t>
      </w:r>
      <w:r w:rsidR="001926F0">
        <w:rPr>
          <w:rFonts w:ascii="Tahoma" w:hAnsi="Tahoma" w:hint="cs"/>
          <w:rtl/>
        </w:rPr>
        <w:t xml:space="preserve">ממילא </w:t>
      </w:r>
      <w:r w:rsidR="001926F0">
        <w:rPr>
          <w:rFonts w:ascii="Tahoma" w:hAnsi="Tahoma" w:hint="cs"/>
          <w:rtl/>
        </w:rPr>
        <w:lastRenderedPageBreak/>
        <w:t xml:space="preserve">ברור </w:t>
      </w:r>
      <w:r w:rsidRPr="00C23C2A">
        <w:rPr>
          <w:rFonts w:ascii="Tahoma" w:hAnsi="Tahoma" w:hint="cs"/>
          <w:rtl/>
        </w:rPr>
        <w:t xml:space="preserve">כי אין לזקוף </w:t>
      </w:r>
      <w:r w:rsidR="00EE7D8E">
        <w:rPr>
          <w:rFonts w:ascii="Tahoma" w:hAnsi="Tahoma" w:hint="cs"/>
          <w:rtl/>
        </w:rPr>
        <w:t xml:space="preserve">את ניהול המשפט </w:t>
      </w:r>
      <w:r w:rsidRPr="00C23C2A">
        <w:rPr>
          <w:rFonts w:ascii="Tahoma" w:hAnsi="Tahoma" w:hint="cs"/>
          <w:rtl/>
        </w:rPr>
        <w:t>לחובת</w:t>
      </w:r>
      <w:r w:rsidR="001926F0">
        <w:rPr>
          <w:rFonts w:ascii="Tahoma" w:hAnsi="Tahoma" w:hint="cs"/>
          <w:rtl/>
        </w:rPr>
        <w:t xml:space="preserve">ו, כפי שגם נקבע במפורש </w:t>
      </w:r>
      <w:r w:rsidRPr="00C23C2A">
        <w:rPr>
          <w:rFonts w:ascii="Tahoma" w:hAnsi="Tahoma" w:hint="cs"/>
          <w:rtl/>
        </w:rPr>
        <w:t>בהוראות</w:t>
      </w:r>
      <w:r w:rsidR="001926F0">
        <w:rPr>
          <w:rFonts w:ascii="Tahoma" w:hAnsi="Tahoma" w:hint="cs"/>
          <w:rtl/>
        </w:rPr>
        <w:t xml:space="preserve"> סעיף 40יא(6) סיפא לחוק העונשין</w:t>
      </w:r>
      <w:r w:rsidRPr="00C23C2A">
        <w:rPr>
          <w:rFonts w:ascii="Tahoma" w:hAnsi="Tahoma" w:hint="cs"/>
          <w:rtl/>
        </w:rPr>
        <w:t>.</w:t>
      </w:r>
      <w:r w:rsidR="001926F0">
        <w:rPr>
          <w:rFonts w:ascii="Tahoma" w:hAnsi="Tahoma" w:hint="cs"/>
          <w:rtl/>
        </w:rPr>
        <w:t xml:space="preserve"> עם זאת, בנסיבות אלה, ובהתחשב ג</w:t>
      </w:r>
      <w:r w:rsidR="001926F0" w:rsidRPr="004C31C6">
        <w:rPr>
          <w:rFonts w:ascii="Tahoma" w:hAnsi="Tahoma" w:hint="cs"/>
          <w:rtl/>
        </w:rPr>
        <w:t xml:space="preserve">ם בדחיות </w:t>
      </w:r>
      <w:r w:rsidR="00EE7D8E">
        <w:rPr>
          <w:rFonts w:ascii="Tahoma" w:hAnsi="Tahoma" w:hint="cs"/>
          <w:rtl/>
        </w:rPr>
        <w:t xml:space="preserve">השונות שנגרמו עקב </w:t>
      </w:r>
      <w:r w:rsidR="001926F0" w:rsidRPr="004C31C6">
        <w:rPr>
          <w:rFonts w:ascii="Tahoma" w:hAnsi="Tahoma" w:hint="cs"/>
          <w:rtl/>
        </w:rPr>
        <w:t xml:space="preserve">בקשות מטעם הנאשם, אין לייחס לחלוף הזמן </w:t>
      </w:r>
      <w:r w:rsidR="004C31C6" w:rsidRPr="004C31C6">
        <w:rPr>
          <w:rFonts w:ascii="Tahoma" w:hAnsi="Tahoma" w:hint="cs"/>
          <w:rtl/>
        </w:rPr>
        <w:t>משמעות מופרזת</w:t>
      </w:r>
      <w:r w:rsidR="00885C23">
        <w:rPr>
          <w:rFonts w:ascii="Tahoma" w:hAnsi="Tahoma" w:hint="cs"/>
          <w:rtl/>
        </w:rPr>
        <w:t xml:space="preserve"> לכף קולה</w:t>
      </w:r>
      <w:r w:rsidR="004C31C6" w:rsidRPr="004C31C6">
        <w:rPr>
          <w:rFonts w:ascii="Tahoma" w:hAnsi="Tahoma" w:hint="cs"/>
          <w:rtl/>
        </w:rPr>
        <w:t>.</w:t>
      </w:r>
    </w:p>
    <w:p w:rsidR="004C31C6" w:rsidRPr="00731DF5" w:rsidRDefault="004C31C6" w:rsidP="00E569CB">
      <w:pPr>
        <w:numPr>
          <w:ilvl w:val="0"/>
          <w:numId w:val="3"/>
        </w:numPr>
        <w:tabs>
          <w:tab w:val="num" w:pos="720"/>
        </w:tabs>
        <w:spacing w:after="120" w:line="360" w:lineRule="auto"/>
        <w:ind w:left="720"/>
        <w:jc w:val="both"/>
        <w:rPr>
          <w:rFonts w:ascii="Tahoma" w:hAnsi="Tahoma"/>
        </w:rPr>
      </w:pPr>
      <w:r w:rsidRPr="004C31C6">
        <w:rPr>
          <w:rFonts w:ascii="Tahoma" w:hAnsi="Tahoma" w:hint="cs"/>
          <w:rtl/>
        </w:rPr>
        <w:t xml:space="preserve">עוד יש לזקוף לזכות הנאשם את </w:t>
      </w:r>
      <w:r w:rsidRPr="004C31C6">
        <w:rPr>
          <w:rFonts w:hint="cs"/>
          <w:rtl/>
        </w:rPr>
        <w:t xml:space="preserve">התנהגותו החיובית ואת תרומתו </w:t>
      </w:r>
      <w:r w:rsidR="00571285">
        <w:rPr>
          <w:rFonts w:hint="cs"/>
          <w:rtl/>
        </w:rPr>
        <w:t xml:space="preserve">הרבה </w:t>
      </w:r>
      <w:r w:rsidRPr="004C31C6">
        <w:rPr>
          <w:rFonts w:hint="cs"/>
          <w:rtl/>
        </w:rPr>
        <w:t>לחברה. כזכור, בבית המשפט התייצבו, באופן חריג, אחד עשר עדי אופי, שהעידו</w:t>
      </w:r>
      <w:r w:rsidRPr="004C31C6">
        <w:rPr>
          <w:rFonts w:ascii="Tahoma" w:hAnsi="Tahoma" w:hint="cs"/>
          <w:rtl/>
        </w:rPr>
        <w:t xml:space="preserve"> כולם על </w:t>
      </w:r>
      <w:r w:rsidRPr="00731DF5">
        <w:rPr>
          <w:rFonts w:ascii="Tahoma" w:hAnsi="Tahoma" w:hint="cs"/>
          <w:rtl/>
        </w:rPr>
        <w:t xml:space="preserve">אופיו הטוב </w:t>
      </w:r>
      <w:r w:rsidR="00B5523D">
        <w:rPr>
          <w:rFonts w:ascii="Tahoma" w:hAnsi="Tahoma" w:hint="cs"/>
          <w:rtl/>
        </w:rPr>
        <w:t xml:space="preserve">של הנאשם ובמיוחד על העזרה הרבה אותה </w:t>
      </w:r>
      <w:r w:rsidR="00E569CB">
        <w:rPr>
          <w:rFonts w:ascii="Tahoma" w:hAnsi="Tahoma" w:hint="cs"/>
          <w:rtl/>
        </w:rPr>
        <w:t xml:space="preserve">הוא </w:t>
      </w:r>
      <w:r w:rsidRPr="00731DF5">
        <w:rPr>
          <w:rFonts w:ascii="Tahoma" w:hAnsi="Tahoma" w:hint="cs"/>
          <w:rtl/>
        </w:rPr>
        <w:t xml:space="preserve">הושיט </w:t>
      </w:r>
      <w:r w:rsidR="00B5523D">
        <w:rPr>
          <w:rFonts w:ascii="Tahoma" w:hAnsi="Tahoma" w:hint="cs"/>
          <w:rtl/>
        </w:rPr>
        <w:t xml:space="preserve">במהלך השנים </w:t>
      </w:r>
      <w:r w:rsidRPr="00731DF5">
        <w:rPr>
          <w:rFonts w:ascii="Tahoma" w:hAnsi="Tahoma" w:hint="cs"/>
          <w:rtl/>
        </w:rPr>
        <w:t>לאנשים רבים, לרבות תוך מתן בסתר.</w:t>
      </w:r>
      <w:r w:rsidR="00E569CB">
        <w:rPr>
          <w:rFonts w:ascii="Tahoma" w:hAnsi="Tahoma" w:hint="cs"/>
          <w:rtl/>
        </w:rPr>
        <w:t xml:space="preserve"> בהקשר זה יש גם לציין את התרשמות בית המשפט מהנאשם כאדם נעים הליכות, אשר התנהל באופן מכובד ומכבד לכל אורך ההליכים. </w:t>
      </w:r>
    </w:p>
    <w:p w:rsidR="009F0062" w:rsidRDefault="004C31C6" w:rsidP="004041AC">
      <w:pPr>
        <w:numPr>
          <w:ilvl w:val="0"/>
          <w:numId w:val="3"/>
        </w:numPr>
        <w:tabs>
          <w:tab w:val="num" w:pos="720"/>
        </w:tabs>
        <w:spacing w:after="120" w:line="360" w:lineRule="auto"/>
        <w:ind w:left="720"/>
        <w:jc w:val="both"/>
        <w:rPr>
          <w:rFonts w:ascii="Tahoma" w:hAnsi="Tahoma"/>
        </w:rPr>
      </w:pPr>
      <w:r w:rsidRPr="00731DF5">
        <w:rPr>
          <w:rFonts w:hint="cs"/>
          <w:rtl/>
        </w:rPr>
        <w:t xml:space="preserve">נותר אפוא לדון בסוגיית </w:t>
      </w:r>
      <w:r w:rsidR="003F6667" w:rsidRPr="00731DF5">
        <w:rPr>
          <w:rFonts w:hint="cs"/>
          <w:rtl/>
        </w:rPr>
        <w:t>מאמצי הנאש</w:t>
      </w:r>
      <w:r w:rsidR="00764BD4" w:rsidRPr="00731DF5">
        <w:rPr>
          <w:rFonts w:hint="cs"/>
          <w:rtl/>
        </w:rPr>
        <w:t>ם לתיקון תוצאות העבירו</w:t>
      </w:r>
      <w:r w:rsidRPr="00731DF5">
        <w:rPr>
          <w:rFonts w:hint="cs"/>
          <w:rtl/>
        </w:rPr>
        <w:t>ת ולפיצוי על הנזק שנגרם בעטיין, כאשר מדוב</w:t>
      </w:r>
      <w:r w:rsidR="00B5523D">
        <w:rPr>
          <w:rFonts w:hint="cs"/>
          <w:rtl/>
        </w:rPr>
        <w:t>ר בנאשם שלא הסיר ולו מקצת ממחדל</w:t>
      </w:r>
      <w:r w:rsidRPr="00731DF5">
        <w:rPr>
          <w:rFonts w:hint="cs"/>
          <w:rtl/>
        </w:rPr>
        <w:t xml:space="preserve">ו. </w:t>
      </w:r>
      <w:r w:rsidR="00731DF5" w:rsidRPr="00731DF5">
        <w:rPr>
          <w:rFonts w:hint="cs"/>
          <w:rtl/>
        </w:rPr>
        <w:t xml:space="preserve">למרות זאת עתר ב"כ הנאשם לראות במרשו כמי </w:t>
      </w:r>
      <w:r w:rsidR="008F0B83">
        <w:rPr>
          <w:rFonts w:ascii="Tahoma" w:hAnsi="Tahoma" w:hint="cs"/>
          <w:rtl/>
        </w:rPr>
        <w:t>שהסיר את המחדל</w:t>
      </w:r>
      <w:r w:rsidR="00B5523D" w:rsidRPr="003A6EF1">
        <w:rPr>
          <w:rFonts w:ascii="Tahoma" w:hAnsi="Tahoma" w:hint="cs"/>
          <w:rtl/>
        </w:rPr>
        <w:t xml:space="preserve">, נוכח הערכת </w:t>
      </w:r>
      <w:r w:rsidR="004041AC">
        <w:rPr>
          <w:rFonts w:ascii="Tahoma" w:hAnsi="Tahoma" w:hint="cs"/>
          <w:rtl/>
        </w:rPr>
        <w:t xml:space="preserve">המנהל המיוחד </w:t>
      </w:r>
      <w:r w:rsidR="00B5523D" w:rsidRPr="003A6EF1">
        <w:rPr>
          <w:rFonts w:ascii="Tahoma" w:hAnsi="Tahoma" w:hint="cs"/>
          <w:rtl/>
        </w:rPr>
        <w:t xml:space="preserve">כי מימוש זכויות הנאשם בשני נכסי נדל"ן </w:t>
      </w:r>
      <w:r w:rsidR="004041AC">
        <w:rPr>
          <w:rFonts w:ascii="Tahoma" w:hAnsi="Tahoma" w:hint="cs"/>
          <w:rtl/>
        </w:rPr>
        <w:t>י</w:t>
      </w:r>
      <w:r w:rsidR="00B5523D" w:rsidRPr="003A6EF1">
        <w:rPr>
          <w:rFonts w:ascii="Tahoma" w:hAnsi="Tahoma" w:hint="cs"/>
          <w:rtl/>
        </w:rPr>
        <w:t xml:space="preserve">ביא לתשלום מלוא חובות </w:t>
      </w:r>
      <w:r w:rsidR="009F0062">
        <w:rPr>
          <w:rFonts w:ascii="Tahoma" w:hAnsi="Tahoma" w:hint="cs"/>
          <w:rtl/>
        </w:rPr>
        <w:t>הנאשם שבדין קדימה לרשות המיסים.</w:t>
      </w:r>
    </w:p>
    <w:p w:rsidR="00731DF5" w:rsidRPr="00165E4D" w:rsidRDefault="00B5523D" w:rsidP="008F0B83">
      <w:pPr>
        <w:numPr>
          <w:ilvl w:val="0"/>
          <w:numId w:val="3"/>
        </w:numPr>
        <w:tabs>
          <w:tab w:val="num" w:pos="720"/>
        </w:tabs>
        <w:spacing w:after="120" w:line="360" w:lineRule="auto"/>
        <w:ind w:left="720"/>
        <w:jc w:val="both"/>
        <w:rPr>
          <w:rFonts w:ascii="Tahoma" w:hAnsi="Tahoma"/>
        </w:rPr>
      </w:pPr>
      <w:r w:rsidRPr="00165E4D">
        <w:rPr>
          <w:rFonts w:ascii="Tahoma" w:hAnsi="Tahoma" w:hint="cs"/>
          <w:rtl/>
        </w:rPr>
        <w:t>ואולם, מעבר לכך שהסרת מחדל</w:t>
      </w:r>
      <w:r w:rsidR="003A6EF1" w:rsidRPr="00165E4D">
        <w:rPr>
          <w:rFonts w:ascii="Tahoma" w:hAnsi="Tahoma" w:hint="cs"/>
          <w:rtl/>
        </w:rPr>
        <w:t xml:space="preserve"> אינה מאיינת את העבירה, </w:t>
      </w:r>
      <w:r w:rsidRPr="00165E4D">
        <w:rPr>
          <w:rFonts w:ascii="Tahoma" w:hAnsi="Tahoma" w:hint="cs"/>
          <w:rtl/>
        </w:rPr>
        <w:t xml:space="preserve">במקרה דנא לא מדובר בהסרת מחדל וולונטרית אלא בהסרת </w:t>
      </w:r>
      <w:r w:rsidR="003A6EF1" w:rsidRPr="00165E4D">
        <w:rPr>
          <w:rFonts w:ascii="Tahoma" w:hAnsi="Tahoma" w:hint="cs"/>
          <w:rtl/>
        </w:rPr>
        <w:t xml:space="preserve">מחדל </w:t>
      </w:r>
      <w:r w:rsidRPr="00165E4D">
        <w:rPr>
          <w:rFonts w:ascii="Tahoma" w:hAnsi="Tahoma" w:hint="cs"/>
          <w:rtl/>
        </w:rPr>
        <w:t>ש</w:t>
      </w:r>
      <w:r w:rsidR="003A6EF1" w:rsidRPr="00165E4D">
        <w:rPr>
          <w:rFonts w:ascii="Tahoma" w:hAnsi="Tahoma" w:hint="cs"/>
          <w:rtl/>
        </w:rPr>
        <w:t xml:space="preserve">אם </w:t>
      </w:r>
      <w:r w:rsidRPr="00165E4D">
        <w:rPr>
          <w:rFonts w:ascii="Tahoma" w:hAnsi="Tahoma" w:hint="cs"/>
          <w:rtl/>
        </w:rPr>
        <w:t xml:space="preserve">תתבצע </w:t>
      </w:r>
      <w:r w:rsidR="003A6EF1" w:rsidRPr="00165E4D">
        <w:rPr>
          <w:rFonts w:ascii="Tahoma" w:hAnsi="Tahoma" w:hint="cs"/>
          <w:rtl/>
        </w:rPr>
        <w:t xml:space="preserve">היא תתבצע לא </w:t>
      </w:r>
      <w:r w:rsidRPr="00165E4D">
        <w:rPr>
          <w:rFonts w:ascii="Tahoma" w:hAnsi="Tahoma" w:hint="cs"/>
          <w:rtl/>
        </w:rPr>
        <w:t xml:space="preserve">על ידי </w:t>
      </w:r>
      <w:r w:rsidR="003A6EF1" w:rsidRPr="00165E4D">
        <w:rPr>
          <w:rFonts w:ascii="Tahoma" w:hAnsi="Tahoma" w:hint="cs"/>
          <w:rtl/>
        </w:rPr>
        <w:t xml:space="preserve">הנאשם אלא על ידי </w:t>
      </w:r>
      <w:r w:rsidR="008504AD" w:rsidRPr="00165E4D">
        <w:rPr>
          <w:rFonts w:ascii="Tahoma" w:hAnsi="Tahoma" w:hint="cs"/>
          <w:rtl/>
        </w:rPr>
        <w:t>המנהל המיוחד</w:t>
      </w:r>
      <w:r w:rsidR="004041AC" w:rsidRPr="00165E4D">
        <w:rPr>
          <w:rFonts w:ascii="Tahoma" w:hAnsi="Tahoma" w:hint="cs"/>
          <w:rtl/>
        </w:rPr>
        <w:t>; והכל</w:t>
      </w:r>
      <w:r w:rsidRPr="00165E4D">
        <w:rPr>
          <w:rFonts w:ascii="Tahoma" w:hAnsi="Tahoma" w:hint="cs"/>
          <w:rtl/>
        </w:rPr>
        <w:t xml:space="preserve"> בעתיד, שנים רבות לא</w:t>
      </w:r>
      <w:r w:rsidR="00C2056F" w:rsidRPr="00165E4D">
        <w:rPr>
          <w:rFonts w:ascii="Tahoma" w:hAnsi="Tahoma" w:hint="cs"/>
          <w:rtl/>
        </w:rPr>
        <w:t>חר ביצוע העבירות</w:t>
      </w:r>
      <w:r w:rsidR="003A6EF1" w:rsidRPr="00165E4D">
        <w:rPr>
          <w:rFonts w:ascii="Tahoma" w:hAnsi="Tahoma" w:hint="cs"/>
          <w:rtl/>
        </w:rPr>
        <w:t xml:space="preserve"> ועל אף שהיתה לנאשם הזדמנות </w:t>
      </w:r>
      <w:r w:rsidR="004041AC" w:rsidRPr="00165E4D">
        <w:rPr>
          <w:rFonts w:ascii="Tahoma" w:hAnsi="Tahoma" w:hint="cs"/>
          <w:rtl/>
        </w:rPr>
        <w:t xml:space="preserve">להסיר את המחדל </w:t>
      </w:r>
      <w:r w:rsidR="003A6EF1" w:rsidRPr="00165E4D">
        <w:rPr>
          <w:rFonts w:ascii="Tahoma" w:hAnsi="Tahoma" w:hint="cs"/>
          <w:rtl/>
        </w:rPr>
        <w:t xml:space="preserve">טרם </w:t>
      </w:r>
      <w:r w:rsidR="008F0B83">
        <w:rPr>
          <w:rFonts w:ascii="Tahoma" w:hAnsi="Tahoma" w:hint="cs"/>
          <w:rtl/>
        </w:rPr>
        <w:t xml:space="preserve">הוצאת </w:t>
      </w:r>
      <w:r w:rsidR="003A6EF1" w:rsidRPr="00165E4D">
        <w:rPr>
          <w:rFonts w:ascii="Tahoma" w:hAnsi="Tahoma" w:hint="cs"/>
          <w:rtl/>
        </w:rPr>
        <w:t xml:space="preserve">צו הכינוס. </w:t>
      </w:r>
      <w:r w:rsidR="009F0062" w:rsidRPr="00165E4D">
        <w:rPr>
          <w:rFonts w:ascii="Tahoma" w:hAnsi="Tahoma" w:hint="cs"/>
          <w:rtl/>
        </w:rPr>
        <w:t xml:space="preserve">זאת ועוד: </w:t>
      </w:r>
      <w:r w:rsidR="00C2056F" w:rsidRPr="00165E4D">
        <w:rPr>
          <w:rFonts w:ascii="Tahoma" w:hAnsi="Tahoma" w:hint="cs"/>
          <w:rtl/>
        </w:rPr>
        <w:t xml:space="preserve">כפי שפורט </w:t>
      </w:r>
      <w:r w:rsidR="004041AC" w:rsidRPr="00165E4D">
        <w:rPr>
          <w:rFonts w:ascii="Tahoma" w:hAnsi="Tahoma" w:hint="cs"/>
          <w:rtl/>
        </w:rPr>
        <w:t>ב</w:t>
      </w:r>
      <w:r w:rsidR="00C2056F" w:rsidRPr="00165E4D">
        <w:rPr>
          <w:rFonts w:ascii="Tahoma" w:hAnsi="Tahoma" w:hint="cs"/>
          <w:rtl/>
        </w:rPr>
        <w:t>סקירת הראיות הרלוואנטיות</w:t>
      </w:r>
      <w:r w:rsidR="009F0062" w:rsidRPr="00165E4D">
        <w:rPr>
          <w:rFonts w:ascii="Tahoma" w:hAnsi="Tahoma" w:hint="cs"/>
          <w:rtl/>
        </w:rPr>
        <w:t xml:space="preserve"> (</w:t>
      </w:r>
      <w:r w:rsidR="00165E4D" w:rsidRPr="00165E4D">
        <w:rPr>
          <w:rFonts w:ascii="Tahoma" w:hAnsi="Tahoma" w:hint="cs"/>
          <w:rtl/>
        </w:rPr>
        <w:t>כאמור בפסקאות 15-13</w:t>
      </w:r>
      <w:r w:rsidR="00341D79" w:rsidRPr="00165E4D">
        <w:rPr>
          <w:rFonts w:ascii="Tahoma" w:hAnsi="Tahoma" w:hint="cs"/>
          <w:rtl/>
        </w:rPr>
        <w:t xml:space="preserve"> דלעיל</w:t>
      </w:r>
      <w:r w:rsidR="009F0062" w:rsidRPr="00165E4D">
        <w:rPr>
          <w:rFonts w:ascii="Tahoma" w:hAnsi="Tahoma" w:hint="cs"/>
          <w:rtl/>
        </w:rPr>
        <w:t xml:space="preserve">), </w:t>
      </w:r>
      <w:r w:rsidR="00341D79" w:rsidRPr="00165E4D">
        <w:rPr>
          <w:rFonts w:ascii="Tahoma" w:hAnsi="Tahoma" w:hint="cs"/>
          <w:rtl/>
        </w:rPr>
        <w:t xml:space="preserve">בכל מקרה </w:t>
      </w:r>
      <w:r w:rsidR="00C2056F" w:rsidRPr="00165E4D">
        <w:rPr>
          <w:rFonts w:ascii="Tahoma" w:hAnsi="Tahoma" w:hint="cs"/>
          <w:rtl/>
        </w:rPr>
        <w:t>י</w:t>
      </w:r>
      <w:r w:rsidR="009F0062" w:rsidRPr="00165E4D">
        <w:rPr>
          <w:rFonts w:ascii="Tahoma" w:hAnsi="Tahoma" w:hint="cs"/>
          <w:rtl/>
        </w:rPr>
        <w:t>הא מדובר בהסרת מחדל חלקית בלבד, כאשר בהתחשב במצבו של הנאשם כיום ס</w:t>
      </w:r>
      <w:r w:rsidR="004041AC" w:rsidRPr="00165E4D">
        <w:rPr>
          <w:rFonts w:ascii="Tahoma" w:hAnsi="Tahoma" w:hint="cs"/>
          <w:rtl/>
        </w:rPr>
        <w:t xml:space="preserve">פק רב אם תהיה לו היכולת </w:t>
      </w:r>
      <w:r w:rsidR="009F0062" w:rsidRPr="00165E4D">
        <w:rPr>
          <w:rFonts w:ascii="Tahoma" w:hAnsi="Tahoma" w:hint="cs"/>
          <w:rtl/>
        </w:rPr>
        <w:t xml:space="preserve">להסיר את מלוא המחדל </w:t>
      </w:r>
      <w:r w:rsidR="00165E4D" w:rsidRPr="00165E4D">
        <w:rPr>
          <w:rFonts w:ascii="Tahoma" w:hAnsi="Tahoma"/>
          <w:rtl/>
        </w:rPr>
        <w:t>–</w:t>
      </w:r>
      <w:r w:rsidR="00165E4D" w:rsidRPr="00165E4D">
        <w:rPr>
          <w:rFonts w:ascii="Tahoma" w:hAnsi="Tahoma" w:hint="cs"/>
          <w:rtl/>
        </w:rPr>
        <w:t xml:space="preserve"> </w:t>
      </w:r>
      <w:r w:rsidR="009F0062" w:rsidRPr="00165E4D">
        <w:rPr>
          <w:rFonts w:ascii="Tahoma" w:hAnsi="Tahoma" w:hint="cs"/>
          <w:rtl/>
        </w:rPr>
        <w:t xml:space="preserve">על אף הצהרתו לפניי כי </w:t>
      </w:r>
      <w:r w:rsidR="009F0062" w:rsidRPr="00165E4D">
        <w:rPr>
          <w:rFonts w:ascii="David" w:eastAsia="Calibri" w:hAnsi="David"/>
          <w:rtl/>
        </w:rPr>
        <w:t>בכוונתו להחזיר את חובותיו למדינה "</w:t>
      </w:r>
      <w:r w:rsidR="009F0062" w:rsidRPr="00165E4D">
        <w:rPr>
          <w:rFonts w:ascii="David" w:eastAsia="Calibri" w:hAnsi="David"/>
          <w:b/>
          <w:bCs/>
          <w:rtl/>
        </w:rPr>
        <w:t>עד השקל האחרון</w:t>
      </w:r>
      <w:r w:rsidR="009F0062" w:rsidRPr="00165E4D">
        <w:rPr>
          <w:rFonts w:ascii="David" w:eastAsia="Calibri" w:hAnsi="David"/>
          <w:rtl/>
        </w:rPr>
        <w:t>"</w:t>
      </w:r>
      <w:r w:rsidR="009F0062" w:rsidRPr="00165E4D">
        <w:rPr>
          <w:rFonts w:ascii="David" w:eastAsia="Calibri" w:hAnsi="David" w:hint="cs"/>
          <w:rtl/>
        </w:rPr>
        <w:t xml:space="preserve">. במכלול </w:t>
      </w:r>
      <w:r w:rsidR="009F0062" w:rsidRPr="00165E4D">
        <w:rPr>
          <w:rFonts w:ascii="Tahoma" w:hAnsi="Tahoma" w:hint="cs"/>
          <w:rtl/>
        </w:rPr>
        <w:t>נסיבות אלה ניתן</w:t>
      </w:r>
      <w:r w:rsidR="003A6EF1" w:rsidRPr="00165E4D">
        <w:rPr>
          <w:rFonts w:ascii="Tahoma" w:hAnsi="Tahoma" w:hint="cs"/>
          <w:rtl/>
        </w:rPr>
        <w:t xml:space="preserve"> </w:t>
      </w:r>
      <w:r w:rsidR="00165E4D">
        <w:rPr>
          <w:rFonts w:ascii="Tahoma" w:hAnsi="Tahoma" w:hint="cs"/>
          <w:rtl/>
        </w:rPr>
        <w:t xml:space="preserve">אפוא </w:t>
      </w:r>
      <w:r w:rsidR="00FB1C8C" w:rsidRPr="00165E4D">
        <w:rPr>
          <w:rFonts w:ascii="Tahoma" w:hAnsi="Tahoma" w:hint="cs"/>
          <w:rtl/>
        </w:rPr>
        <w:t>ליתן משקל מסוים לכף קולה</w:t>
      </w:r>
      <w:r w:rsidR="003A6EF1" w:rsidRPr="00165E4D">
        <w:rPr>
          <w:rFonts w:ascii="Tahoma" w:hAnsi="Tahoma" w:hint="cs"/>
          <w:rtl/>
        </w:rPr>
        <w:t>, ולו לפנים משורת הדין,</w:t>
      </w:r>
      <w:r w:rsidR="00FB1C8C" w:rsidRPr="00165E4D">
        <w:rPr>
          <w:rFonts w:ascii="Tahoma" w:hAnsi="Tahoma" w:hint="cs"/>
          <w:rtl/>
        </w:rPr>
        <w:t xml:space="preserve"> להערכת </w:t>
      </w:r>
      <w:r w:rsidR="008504AD" w:rsidRPr="00165E4D">
        <w:rPr>
          <w:rFonts w:ascii="Tahoma" w:hAnsi="Tahoma" w:hint="cs"/>
          <w:rtl/>
        </w:rPr>
        <w:t>המנהל המיוחד</w:t>
      </w:r>
      <w:r w:rsidR="003A6EF1" w:rsidRPr="00165E4D">
        <w:rPr>
          <w:rFonts w:ascii="Tahoma" w:hAnsi="Tahoma" w:hint="cs"/>
          <w:rtl/>
        </w:rPr>
        <w:t xml:space="preserve"> כי החובות </w:t>
      </w:r>
      <w:r w:rsidR="009F0062" w:rsidRPr="00165E4D">
        <w:rPr>
          <w:rFonts w:ascii="Tahoma" w:hAnsi="Tahoma" w:hint="cs"/>
          <w:rtl/>
        </w:rPr>
        <w:t>שבדין קדימה לרשות המיסים אמנם ישולמו</w:t>
      </w:r>
      <w:r w:rsidR="00165E4D">
        <w:rPr>
          <w:rFonts w:ascii="Tahoma" w:hAnsi="Tahoma" w:hint="cs"/>
          <w:rtl/>
        </w:rPr>
        <w:t>;</w:t>
      </w:r>
      <w:r w:rsidR="00FB1C8C" w:rsidRPr="00165E4D">
        <w:rPr>
          <w:rFonts w:ascii="Tahoma" w:hAnsi="Tahoma" w:hint="cs"/>
          <w:rtl/>
        </w:rPr>
        <w:t xml:space="preserve"> אך משקל מוגבל בלבד.</w:t>
      </w:r>
    </w:p>
    <w:p w:rsidR="00ED0D4C" w:rsidRPr="00ED0D4C" w:rsidRDefault="00764BD4" w:rsidP="00017FF6">
      <w:pPr>
        <w:numPr>
          <w:ilvl w:val="0"/>
          <w:numId w:val="3"/>
        </w:numPr>
        <w:tabs>
          <w:tab w:val="num" w:pos="720"/>
        </w:tabs>
        <w:spacing w:after="120" w:line="360" w:lineRule="auto"/>
        <w:ind w:left="720"/>
        <w:jc w:val="both"/>
        <w:rPr>
          <w:rFonts w:ascii="Tahoma" w:hAnsi="Tahoma"/>
        </w:rPr>
      </w:pPr>
      <w:r>
        <w:rPr>
          <w:rFonts w:hint="cs"/>
          <w:rtl/>
        </w:rPr>
        <w:t xml:space="preserve">הנסיבות והשיקולים </w:t>
      </w:r>
      <w:r w:rsidR="009F0062">
        <w:rPr>
          <w:rFonts w:hint="cs"/>
          <w:rtl/>
        </w:rPr>
        <w:t xml:space="preserve">הרלוואנטיים </w:t>
      </w:r>
      <w:r w:rsidR="00165E4D">
        <w:rPr>
          <w:rFonts w:hint="cs"/>
          <w:rtl/>
        </w:rPr>
        <w:t xml:space="preserve">לגזירת עונשו של הנאשם בתוך מתחם העונש ההולם מעלים אם כן </w:t>
      </w:r>
      <w:r w:rsidR="00FB1C8C">
        <w:rPr>
          <w:rFonts w:hint="cs"/>
          <w:rtl/>
        </w:rPr>
        <w:t xml:space="preserve">תמונה מורכבת. נסיבותיו הבריאותיות, האישיות והכלכליות של הנאשם אינן פשוטות, </w:t>
      </w:r>
      <w:r w:rsidR="00ED0D4C">
        <w:rPr>
          <w:rFonts w:hint="cs"/>
          <w:rtl/>
        </w:rPr>
        <w:t xml:space="preserve">בלשון המעטה, </w:t>
      </w:r>
      <w:r w:rsidR="00FB1C8C">
        <w:rPr>
          <w:rFonts w:hint="cs"/>
          <w:rtl/>
        </w:rPr>
        <w:t>ו</w:t>
      </w:r>
      <w:r w:rsidR="009F0062">
        <w:rPr>
          <w:rFonts w:hint="cs"/>
          <w:rtl/>
        </w:rPr>
        <w:t xml:space="preserve">מעבר לכך </w:t>
      </w:r>
      <w:r w:rsidR="00FB1C8C">
        <w:rPr>
          <w:rFonts w:hint="cs"/>
          <w:rtl/>
        </w:rPr>
        <w:t>הוא בבחינת מי שנפל מאיגרא רמא לביר</w:t>
      </w:r>
      <w:r w:rsidR="00165E4D">
        <w:rPr>
          <w:rFonts w:hint="cs"/>
          <w:rtl/>
        </w:rPr>
        <w:t>א</w:t>
      </w:r>
      <w:r w:rsidR="00FB1C8C">
        <w:rPr>
          <w:rFonts w:hint="cs"/>
          <w:rtl/>
        </w:rPr>
        <w:t xml:space="preserve"> עמיקתא. </w:t>
      </w:r>
      <w:r w:rsidR="009F0062">
        <w:rPr>
          <w:rFonts w:hint="cs"/>
          <w:rtl/>
        </w:rPr>
        <w:t xml:space="preserve">אכן </w:t>
      </w:r>
      <w:r w:rsidR="00FB1C8C">
        <w:rPr>
          <w:rFonts w:hint="cs"/>
          <w:rtl/>
        </w:rPr>
        <w:t xml:space="preserve">הנאשם, שניהל </w:t>
      </w:r>
      <w:r w:rsidR="00FB1C8C">
        <w:rPr>
          <w:rFonts w:ascii="David" w:hAnsi="David"/>
          <w:rtl/>
        </w:rPr>
        <w:t xml:space="preserve">ביד רמה עסק </w:t>
      </w:r>
      <w:r w:rsidR="00FB1C8C">
        <w:rPr>
          <w:rFonts w:ascii="David" w:hAnsi="David" w:hint="cs"/>
          <w:rtl/>
        </w:rPr>
        <w:t>משגשג ו</w:t>
      </w:r>
      <w:r w:rsidR="00FB1C8C">
        <w:rPr>
          <w:rFonts w:ascii="David" w:hAnsi="David"/>
          <w:rtl/>
        </w:rPr>
        <w:t>מצליח</w:t>
      </w:r>
      <w:r w:rsidR="00ED0D4C">
        <w:rPr>
          <w:rFonts w:ascii="David" w:hAnsi="David" w:hint="cs"/>
          <w:rtl/>
        </w:rPr>
        <w:t xml:space="preserve"> כלכלית, ואף זכה לפרסום רב</w:t>
      </w:r>
      <w:r w:rsidR="00EA13E7">
        <w:rPr>
          <w:rFonts w:ascii="David" w:hAnsi="David" w:hint="cs"/>
          <w:rtl/>
        </w:rPr>
        <w:t xml:space="preserve"> בעקבות תכניות הרדיו שהגיש</w:t>
      </w:r>
      <w:r w:rsidR="00ED0D4C">
        <w:rPr>
          <w:rFonts w:ascii="David" w:hAnsi="David" w:hint="cs"/>
          <w:rtl/>
        </w:rPr>
        <w:t xml:space="preserve">, הגיע למצב של כינוס נכסים ומשבר משפחתי, ואף לקה בבריאותו. עם זאת, </w:t>
      </w:r>
      <w:r w:rsidR="00E04C2D">
        <w:rPr>
          <w:rFonts w:ascii="David" w:hAnsi="David" w:hint="cs"/>
          <w:rtl/>
        </w:rPr>
        <w:t xml:space="preserve">בהקשר זה </w:t>
      </w:r>
      <w:r w:rsidR="00ED0D4C">
        <w:rPr>
          <w:rFonts w:ascii="David" w:hAnsi="David" w:hint="cs"/>
          <w:rtl/>
        </w:rPr>
        <w:t xml:space="preserve">עניינו של הנאשם אינו שונה </w:t>
      </w:r>
      <w:r w:rsidR="00017FF6">
        <w:rPr>
          <w:rFonts w:ascii="David" w:hAnsi="David" w:hint="cs"/>
          <w:rtl/>
        </w:rPr>
        <w:t xml:space="preserve">משמעותית </w:t>
      </w:r>
      <w:r w:rsidR="00ED0D4C">
        <w:rPr>
          <w:rFonts w:ascii="David" w:hAnsi="David" w:hint="cs"/>
          <w:rtl/>
        </w:rPr>
        <w:t>מעניינם של עברייני מס רבים</w:t>
      </w:r>
      <w:r w:rsidR="00ED0D4C">
        <w:rPr>
          <w:rFonts w:ascii="Tahoma" w:hAnsi="Tahoma" w:hint="cs"/>
          <w:rtl/>
        </w:rPr>
        <w:t>, ש</w:t>
      </w:r>
      <w:r w:rsidR="00E04C2D">
        <w:rPr>
          <w:rFonts w:ascii="Tahoma" w:hAnsi="Tahoma" w:hint="cs"/>
          <w:rtl/>
        </w:rPr>
        <w:t xml:space="preserve">לא אחת </w:t>
      </w:r>
      <w:r w:rsidR="00ED0D4C">
        <w:rPr>
          <w:rFonts w:ascii="Tahoma" w:hAnsi="Tahoma" w:hint="cs"/>
          <w:rtl/>
        </w:rPr>
        <w:t xml:space="preserve">הם בני אדם נורמטיביים ויצרניים, </w:t>
      </w:r>
      <w:r w:rsidR="00E04C2D">
        <w:rPr>
          <w:rFonts w:ascii="Tahoma" w:hAnsi="Tahoma" w:hint="cs"/>
          <w:rtl/>
        </w:rPr>
        <w:t>וא</w:t>
      </w:r>
      <w:r w:rsidR="00ED0D4C">
        <w:rPr>
          <w:rFonts w:ascii="Tahoma" w:hAnsi="Tahoma" w:hint="cs"/>
          <w:rtl/>
        </w:rPr>
        <w:t>ש</w:t>
      </w:r>
      <w:r w:rsidR="00E04C2D">
        <w:rPr>
          <w:rFonts w:ascii="Tahoma" w:hAnsi="Tahoma" w:hint="cs"/>
          <w:rtl/>
        </w:rPr>
        <w:t xml:space="preserve">ר </w:t>
      </w:r>
      <w:r w:rsidR="00ED0D4C">
        <w:rPr>
          <w:rFonts w:ascii="Tahoma" w:hAnsi="Tahoma" w:hint="cs"/>
          <w:rtl/>
        </w:rPr>
        <w:t xml:space="preserve">במקרים רבים </w:t>
      </w:r>
      <w:r w:rsidR="00017FF6">
        <w:rPr>
          <w:rFonts w:ascii="Tahoma" w:hAnsi="Tahoma" w:hint="cs"/>
          <w:rtl/>
        </w:rPr>
        <w:t xml:space="preserve">הם </w:t>
      </w:r>
      <w:r w:rsidR="00ED0D4C">
        <w:rPr>
          <w:rFonts w:ascii="Tahoma" w:hAnsi="Tahoma" w:hint="cs"/>
          <w:rtl/>
        </w:rPr>
        <w:t xml:space="preserve">אף מבצעים את העבירות </w:t>
      </w:r>
      <w:r w:rsidR="009F0062">
        <w:rPr>
          <w:rFonts w:ascii="Tahoma" w:hAnsi="Tahoma" w:hint="cs"/>
          <w:rtl/>
        </w:rPr>
        <w:t>ע</w:t>
      </w:r>
      <w:r w:rsidR="00ED0D4C">
        <w:rPr>
          <w:rFonts w:ascii="Tahoma" w:hAnsi="Tahoma" w:hint="cs"/>
          <w:rtl/>
        </w:rPr>
        <w:t>ל</w:t>
      </w:r>
      <w:r w:rsidR="009F0062">
        <w:rPr>
          <w:rFonts w:ascii="Tahoma" w:hAnsi="Tahoma" w:hint="cs"/>
          <w:rtl/>
        </w:rPr>
        <w:t xml:space="preserve"> </w:t>
      </w:r>
      <w:r w:rsidR="00ED0D4C">
        <w:rPr>
          <w:rFonts w:ascii="Tahoma" w:hAnsi="Tahoma" w:hint="cs"/>
          <w:rtl/>
        </w:rPr>
        <w:t>רקע משבר</w:t>
      </w:r>
      <w:r w:rsidR="00017FF6">
        <w:rPr>
          <w:rFonts w:ascii="Tahoma" w:hAnsi="Tahoma" w:hint="cs"/>
          <w:rtl/>
        </w:rPr>
        <w:t>ים חמורים במישור</w:t>
      </w:r>
      <w:r w:rsidR="00ED0D4C">
        <w:rPr>
          <w:rFonts w:ascii="Tahoma" w:hAnsi="Tahoma" w:hint="cs"/>
          <w:rtl/>
        </w:rPr>
        <w:t xml:space="preserve"> </w:t>
      </w:r>
      <w:r w:rsidR="00017FF6">
        <w:rPr>
          <w:rFonts w:ascii="Tahoma" w:hAnsi="Tahoma" w:hint="cs"/>
          <w:rtl/>
        </w:rPr>
        <w:t>ה</w:t>
      </w:r>
      <w:r w:rsidR="00ED0D4C">
        <w:rPr>
          <w:rFonts w:ascii="Tahoma" w:hAnsi="Tahoma" w:hint="cs"/>
          <w:rtl/>
        </w:rPr>
        <w:t xml:space="preserve">כלכלי, </w:t>
      </w:r>
      <w:r w:rsidR="00017FF6">
        <w:rPr>
          <w:rFonts w:ascii="Tahoma" w:hAnsi="Tahoma" w:hint="cs"/>
          <w:rtl/>
        </w:rPr>
        <w:t>ה</w:t>
      </w:r>
      <w:r w:rsidR="00ED0D4C">
        <w:rPr>
          <w:rFonts w:ascii="Tahoma" w:hAnsi="Tahoma" w:hint="cs"/>
          <w:rtl/>
        </w:rPr>
        <w:t xml:space="preserve">בריאותי או </w:t>
      </w:r>
      <w:r w:rsidR="00017FF6">
        <w:rPr>
          <w:rFonts w:ascii="Tahoma" w:hAnsi="Tahoma" w:hint="cs"/>
          <w:rtl/>
        </w:rPr>
        <w:t>ה</w:t>
      </w:r>
      <w:r w:rsidR="00ED0D4C">
        <w:rPr>
          <w:rFonts w:ascii="Tahoma" w:hAnsi="Tahoma" w:hint="cs"/>
          <w:rtl/>
        </w:rPr>
        <w:t xml:space="preserve">משפחתי. על כן קובעת </w:t>
      </w:r>
      <w:r w:rsidR="001C10E4">
        <w:rPr>
          <w:rFonts w:ascii="Tahoma" w:hAnsi="Tahoma" w:hint="cs"/>
          <w:rtl/>
        </w:rPr>
        <w:t xml:space="preserve">ההלכה הפסוקה </w:t>
      </w:r>
      <w:r w:rsidR="00ED0D4C">
        <w:rPr>
          <w:rFonts w:ascii="Tahoma" w:hAnsi="Tahoma" w:hint="cs"/>
          <w:rtl/>
        </w:rPr>
        <w:t xml:space="preserve">כי בעבירות </w:t>
      </w:r>
      <w:r w:rsidR="001C10E4">
        <w:rPr>
          <w:rFonts w:ascii="Tahoma" w:hAnsi="Tahoma" w:hint="cs"/>
          <w:rtl/>
        </w:rPr>
        <w:t xml:space="preserve">מס </w:t>
      </w:r>
      <w:r w:rsidR="00ED0D4C">
        <w:rPr>
          <w:rFonts w:ascii="Tahoma" w:hAnsi="Tahoma" w:hint="cs"/>
          <w:rtl/>
        </w:rPr>
        <w:t>יש ככלל לבכר את האינטרס הציבורי בענישה ובהרתעה על פני נסיבותיו האישיות של הנאשם ו</w:t>
      </w:r>
      <w:r w:rsidR="004041AC">
        <w:rPr>
          <w:rFonts w:ascii="Tahoma" w:hAnsi="Tahoma" w:hint="cs"/>
          <w:rtl/>
        </w:rPr>
        <w:t xml:space="preserve">על </w:t>
      </w:r>
      <w:r w:rsidR="00ED0D4C">
        <w:rPr>
          <w:rFonts w:ascii="Tahoma" w:hAnsi="Tahoma" w:hint="cs"/>
          <w:rtl/>
        </w:rPr>
        <w:t xml:space="preserve">מצוקותיו.  </w:t>
      </w:r>
    </w:p>
    <w:p w:rsidR="00EA13E7" w:rsidRPr="00A55546" w:rsidRDefault="00A55546" w:rsidP="0025229A">
      <w:pPr>
        <w:numPr>
          <w:ilvl w:val="0"/>
          <w:numId w:val="3"/>
        </w:numPr>
        <w:tabs>
          <w:tab w:val="num" w:pos="720"/>
        </w:tabs>
        <w:spacing w:after="120" w:line="360" w:lineRule="auto"/>
        <w:ind w:left="720"/>
        <w:jc w:val="both"/>
        <w:rPr>
          <w:rFonts w:ascii="Tahoma" w:hAnsi="Tahoma"/>
        </w:rPr>
      </w:pPr>
      <w:r w:rsidRPr="00A55546">
        <w:rPr>
          <w:rFonts w:ascii="David" w:hAnsi="David" w:hint="cs"/>
          <w:rtl/>
        </w:rPr>
        <w:t>בהינתן</w:t>
      </w:r>
      <w:r w:rsidR="00EA13E7" w:rsidRPr="00A55546">
        <w:rPr>
          <w:rFonts w:ascii="David" w:hAnsi="David" w:hint="cs"/>
          <w:rtl/>
        </w:rPr>
        <w:t xml:space="preserve"> </w:t>
      </w:r>
      <w:r w:rsidR="00165E4D">
        <w:rPr>
          <w:rFonts w:ascii="David" w:hAnsi="David" w:hint="cs"/>
          <w:rtl/>
        </w:rPr>
        <w:t>כל הנ"ל</w:t>
      </w:r>
      <w:r w:rsidR="00EA13E7" w:rsidRPr="00A55546">
        <w:rPr>
          <w:rFonts w:ascii="David" w:hAnsi="David" w:hint="cs"/>
          <w:rtl/>
        </w:rPr>
        <w:t xml:space="preserve"> עדיין נסיבות הקולה </w:t>
      </w:r>
      <w:r w:rsidR="001C10E4" w:rsidRPr="00A55546">
        <w:rPr>
          <w:rFonts w:ascii="David" w:hAnsi="David" w:hint="cs"/>
          <w:rtl/>
        </w:rPr>
        <w:t xml:space="preserve">לגזירת </w:t>
      </w:r>
      <w:r w:rsidR="004041AC">
        <w:rPr>
          <w:rFonts w:ascii="David" w:hAnsi="David" w:hint="cs"/>
          <w:rtl/>
        </w:rPr>
        <w:t xml:space="preserve">עונשו של הנאשם </w:t>
      </w:r>
      <w:r w:rsidR="001C10E4" w:rsidRPr="00A55546">
        <w:rPr>
          <w:rFonts w:ascii="David" w:hAnsi="David" w:hint="cs"/>
          <w:rtl/>
        </w:rPr>
        <w:t>בתוך מתחם העונש ההולם עולות במשקלן על נסיבות החומרה;</w:t>
      </w:r>
      <w:r w:rsidR="00EA13E7" w:rsidRPr="00A55546">
        <w:rPr>
          <w:rFonts w:ascii="David" w:hAnsi="David" w:hint="cs"/>
          <w:rtl/>
        </w:rPr>
        <w:t xml:space="preserve"> </w:t>
      </w:r>
      <w:r w:rsidR="004041AC">
        <w:rPr>
          <w:rFonts w:ascii="David" w:hAnsi="David" w:hint="cs"/>
          <w:rtl/>
        </w:rPr>
        <w:t xml:space="preserve">וזאת </w:t>
      </w:r>
      <w:r w:rsidR="00EA13E7" w:rsidRPr="00A55546">
        <w:rPr>
          <w:rFonts w:ascii="David" w:hAnsi="David" w:hint="cs"/>
          <w:rtl/>
        </w:rPr>
        <w:t xml:space="preserve">באופן שיש לגזור את עונשו של הנאשם </w:t>
      </w:r>
      <w:r w:rsidR="0025229A">
        <w:rPr>
          <w:rFonts w:ascii="David" w:hAnsi="David" w:hint="cs"/>
          <w:rtl/>
        </w:rPr>
        <w:t xml:space="preserve">ברבע </w:t>
      </w:r>
      <w:r w:rsidR="0025229A">
        <w:rPr>
          <w:rFonts w:ascii="David" w:hAnsi="David" w:hint="cs"/>
          <w:rtl/>
        </w:rPr>
        <w:lastRenderedPageBreak/>
        <w:t xml:space="preserve">התחתון </w:t>
      </w:r>
      <w:r w:rsidR="00EA13E7" w:rsidRPr="00A55546">
        <w:rPr>
          <w:rFonts w:ascii="David" w:hAnsi="David" w:hint="cs"/>
          <w:rtl/>
        </w:rPr>
        <w:t>של מתחם העונש ההולם</w:t>
      </w:r>
      <w:r w:rsidR="0025229A">
        <w:rPr>
          <w:rFonts w:ascii="David" w:hAnsi="David" w:hint="cs"/>
          <w:rtl/>
        </w:rPr>
        <w:t>, כלומר לתקופה של 36</w:t>
      </w:r>
      <w:r w:rsidR="00EA13E7" w:rsidRPr="00A55546">
        <w:rPr>
          <w:rFonts w:ascii="David" w:hAnsi="David" w:hint="cs"/>
          <w:rtl/>
        </w:rPr>
        <w:t xml:space="preserve"> חודשי מאסר בפועל.</w:t>
      </w:r>
      <w:r w:rsidR="00EA13E7" w:rsidRPr="00A55546">
        <w:rPr>
          <w:rFonts w:ascii="Tahoma" w:hAnsi="Tahoma" w:hint="cs"/>
          <w:rtl/>
        </w:rPr>
        <w:t xml:space="preserve"> אשר לקנס הכספי, נוכח העובדה שנגזר בזה עונש מאסר בפועל משמעותי על הנאשם, שממילא יקשה על יכולתו להתפרנס ויפגע עוד במצבו הכלכלי, יש לקבוע א</w:t>
      </w:r>
      <w:r>
        <w:rPr>
          <w:rFonts w:ascii="Tahoma" w:hAnsi="Tahoma" w:hint="cs"/>
          <w:rtl/>
        </w:rPr>
        <w:t xml:space="preserve">ת הקנס </w:t>
      </w:r>
      <w:r w:rsidR="00EA13E7" w:rsidRPr="00A55546">
        <w:rPr>
          <w:rFonts w:ascii="Tahoma" w:hAnsi="Tahoma" w:hint="cs"/>
          <w:rtl/>
        </w:rPr>
        <w:t>ברף התחתון של מתחם הקנס ההולם.</w:t>
      </w:r>
    </w:p>
    <w:p w:rsidR="00EA13E7" w:rsidRPr="00A55546" w:rsidRDefault="00EA13E7" w:rsidP="00EA13E7">
      <w:pPr>
        <w:spacing w:after="120" w:line="360" w:lineRule="auto"/>
        <w:ind w:left="720"/>
        <w:jc w:val="both"/>
        <w:rPr>
          <w:rFonts w:ascii="Tahoma" w:hAnsi="Tahoma"/>
        </w:rPr>
      </w:pPr>
    </w:p>
    <w:p w:rsidR="00764BD4" w:rsidRPr="00EA13E7" w:rsidRDefault="0013653D" w:rsidP="00EA13E7">
      <w:pPr>
        <w:spacing w:after="120" w:line="360" w:lineRule="auto"/>
        <w:jc w:val="both"/>
        <w:rPr>
          <w:rFonts w:ascii="Tahoma" w:hAnsi="Tahoma"/>
          <w:rtl/>
        </w:rPr>
      </w:pPr>
      <w:r w:rsidRPr="00EA13E7">
        <w:rPr>
          <w:rFonts w:hint="cs"/>
          <w:b/>
          <w:bCs/>
          <w:rtl/>
        </w:rPr>
        <w:t>ו</w:t>
      </w:r>
      <w:r w:rsidR="00764BD4" w:rsidRPr="00EA13E7">
        <w:rPr>
          <w:rFonts w:hint="cs"/>
          <w:b/>
          <w:bCs/>
          <w:rtl/>
        </w:rPr>
        <w:t>.</w:t>
      </w:r>
      <w:r w:rsidR="00764BD4" w:rsidRPr="00EA13E7">
        <w:rPr>
          <w:rFonts w:hint="cs"/>
          <w:b/>
          <w:bCs/>
          <w:rtl/>
        </w:rPr>
        <w:tab/>
      </w:r>
      <w:r w:rsidR="00764BD4" w:rsidRPr="00EA13E7">
        <w:rPr>
          <w:rFonts w:hint="cs"/>
          <w:b/>
          <w:bCs/>
          <w:u w:val="single"/>
          <w:rtl/>
        </w:rPr>
        <w:t>סוף דבר:</w:t>
      </w:r>
    </w:p>
    <w:p w:rsidR="00764BD4" w:rsidRPr="00120D59" w:rsidRDefault="00764BD4" w:rsidP="00764BD4">
      <w:pPr>
        <w:numPr>
          <w:ilvl w:val="0"/>
          <w:numId w:val="3"/>
        </w:numPr>
        <w:tabs>
          <w:tab w:val="num" w:pos="720"/>
        </w:tabs>
        <w:spacing w:after="120" w:line="360" w:lineRule="auto"/>
        <w:ind w:left="720"/>
        <w:jc w:val="both"/>
        <w:rPr>
          <w:rFonts w:ascii="Tahoma" w:hAnsi="Tahoma"/>
          <w:rtl/>
        </w:rPr>
      </w:pPr>
      <w:r>
        <w:rPr>
          <w:rFonts w:hint="cs"/>
          <w:rtl/>
        </w:rPr>
        <w:t xml:space="preserve">אשר על כן </w:t>
      </w:r>
      <w:r>
        <w:rPr>
          <w:rtl/>
        </w:rPr>
        <w:t>–</w:t>
      </w:r>
      <w:r>
        <w:rPr>
          <w:rFonts w:hint="cs"/>
          <w:rtl/>
        </w:rPr>
        <w:t xml:space="preserve"> ובהתחשב בשיקולים לכף חומרה ולכף קולה, אשר פורטו לעיל </w:t>
      </w:r>
      <w:r>
        <w:rPr>
          <w:rtl/>
        </w:rPr>
        <w:t>–</w:t>
      </w:r>
      <w:r>
        <w:rPr>
          <w:rFonts w:hint="cs"/>
          <w:rtl/>
        </w:rPr>
        <w:t xml:space="preserve"> אני גוזר על הנאשם את העונשים הבאים:</w:t>
      </w:r>
    </w:p>
    <w:p w:rsidR="00764BD4" w:rsidRDefault="00764BD4" w:rsidP="001C10E4">
      <w:pPr>
        <w:spacing w:after="120" w:line="360" w:lineRule="auto"/>
        <w:ind w:left="720"/>
        <w:jc w:val="both"/>
        <w:rPr>
          <w:rFonts w:ascii="Tahoma" w:hAnsi="Tahoma"/>
          <w:rtl/>
        </w:rPr>
      </w:pPr>
      <w:r>
        <w:rPr>
          <w:rFonts w:hint="cs"/>
          <w:rtl/>
        </w:rPr>
        <w:t>(א)</w:t>
      </w:r>
      <w:r>
        <w:rPr>
          <w:rtl/>
        </w:rPr>
        <w:tab/>
      </w:r>
      <w:r w:rsidR="0025229A">
        <w:rPr>
          <w:rFonts w:hint="cs"/>
          <w:rtl/>
        </w:rPr>
        <w:t>36</w:t>
      </w:r>
      <w:r w:rsidR="001C10E4">
        <w:rPr>
          <w:rFonts w:hint="cs"/>
          <w:rtl/>
        </w:rPr>
        <w:t xml:space="preserve"> </w:t>
      </w:r>
      <w:r>
        <w:rPr>
          <w:rFonts w:hint="cs"/>
          <w:rtl/>
        </w:rPr>
        <w:t>חודשי מאסר בפועל, בניכוי ימי מעצרו בהתאם לרישומי שירות בתי הסוהר.</w:t>
      </w:r>
    </w:p>
    <w:p w:rsidR="00764BD4" w:rsidRDefault="00764BD4" w:rsidP="001C10E4">
      <w:pPr>
        <w:spacing w:after="120" w:line="360" w:lineRule="auto"/>
        <w:ind w:left="1440"/>
        <w:jc w:val="both"/>
        <w:rPr>
          <w:rFonts w:ascii="Tahoma" w:hAnsi="Tahoma"/>
        </w:rPr>
      </w:pPr>
      <w:r>
        <w:rPr>
          <w:rFonts w:ascii="Tahoma" w:hAnsi="Tahoma" w:hint="cs"/>
          <w:rtl/>
        </w:rPr>
        <w:t xml:space="preserve">על הנאשם להתייצב לנשיאת עונשו בבית המעצר ניצן, או במקום אחר שייקבע שירות בתי הסוהר, ביום </w:t>
      </w:r>
      <w:r w:rsidR="001C10E4">
        <w:rPr>
          <w:rFonts w:ascii="Tahoma" w:hAnsi="Tahoma" w:hint="cs"/>
          <w:rtl/>
        </w:rPr>
        <w:t>16.07.2023</w:t>
      </w:r>
      <w:r>
        <w:rPr>
          <w:rFonts w:ascii="Tahoma" w:hAnsi="Tahoma" w:hint="cs"/>
          <w:rtl/>
        </w:rPr>
        <w:t xml:space="preserve"> עד השעה 10:00.</w:t>
      </w:r>
    </w:p>
    <w:p w:rsidR="00764BD4" w:rsidRDefault="00764BD4" w:rsidP="001C10E4">
      <w:pPr>
        <w:spacing w:after="120" w:line="360" w:lineRule="auto"/>
        <w:ind w:left="1440"/>
        <w:jc w:val="both"/>
        <w:rPr>
          <w:rFonts w:ascii="Tahoma" w:hAnsi="Tahoma"/>
          <w:rtl/>
        </w:rPr>
      </w:pPr>
      <w:r>
        <w:rPr>
          <w:rFonts w:ascii="Tahoma" w:hAnsi="Tahoma" w:hint="cs"/>
          <w:rtl/>
        </w:rPr>
        <w:t xml:space="preserve">ב"כ הנאשם יתאם את הכניסה למאסר עם </w:t>
      </w:r>
      <w:r>
        <w:rPr>
          <w:rFonts w:hint="cs"/>
          <w:rtl/>
        </w:rPr>
        <w:t>ענף אבחון ומיון של</w:t>
      </w:r>
      <w:r>
        <w:rPr>
          <w:rFonts w:ascii="Tahoma" w:hAnsi="Tahoma" w:hint="cs"/>
          <w:rtl/>
        </w:rPr>
        <w:t xml:space="preserve"> שירות בתי הסוהר, על מנת להבטיח עריכת "מיון מוקדם" לנאשם אשר יקל על קליטתו בבית הסוהר.</w:t>
      </w:r>
    </w:p>
    <w:p w:rsidR="00764BD4" w:rsidRDefault="0013653D" w:rsidP="001C10E4">
      <w:pPr>
        <w:spacing w:after="120" w:line="360" w:lineRule="auto"/>
        <w:ind w:left="1440" w:hanging="720"/>
        <w:jc w:val="both"/>
        <w:rPr>
          <w:rFonts w:ascii="Tahoma" w:hAnsi="Tahoma"/>
        </w:rPr>
      </w:pPr>
      <w:r>
        <w:rPr>
          <w:rFonts w:hint="cs"/>
          <w:rtl/>
        </w:rPr>
        <w:t>(ב</w:t>
      </w:r>
      <w:r w:rsidR="00764BD4">
        <w:rPr>
          <w:rFonts w:hint="cs"/>
          <w:rtl/>
        </w:rPr>
        <w:t>)</w:t>
      </w:r>
      <w:r w:rsidR="00764BD4">
        <w:rPr>
          <w:rtl/>
        </w:rPr>
        <w:tab/>
      </w:r>
      <w:r w:rsidR="00764BD4">
        <w:rPr>
          <w:rFonts w:hint="cs"/>
          <w:rtl/>
        </w:rPr>
        <w:t xml:space="preserve">מאסר על תנאי למשך </w:t>
      </w:r>
      <w:r>
        <w:rPr>
          <w:rFonts w:hint="cs"/>
          <w:rtl/>
        </w:rPr>
        <w:t>9</w:t>
      </w:r>
      <w:r w:rsidR="00764BD4">
        <w:rPr>
          <w:rFonts w:hint="cs"/>
          <w:rtl/>
        </w:rPr>
        <w:t xml:space="preserve"> חודשים, אותו לא יישא הנאשם אלא אם כן יעבור, תוך שלוש שנים מיום שחרורו מן המאסר, עבירה </w:t>
      </w:r>
      <w:r>
        <w:rPr>
          <w:rFonts w:ascii="Tahoma" w:hAnsi="Tahoma" w:hint="cs"/>
          <w:rtl/>
        </w:rPr>
        <w:t>מהעבירות בהן הורשע.</w:t>
      </w:r>
    </w:p>
    <w:p w:rsidR="00764BD4" w:rsidRPr="00E0628E" w:rsidRDefault="0013653D" w:rsidP="001C10E4">
      <w:pPr>
        <w:spacing w:after="120" w:line="360" w:lineRule="auto"/>
        <w:ind w:left="720"/>
        <w:jc w:val="both"/>
        <w:rPr>
          <w:rFonts w:ascii="Tahoma" w:hAnsi="Tahoma"/>
        </w:rPr>
      </w:pPr>
      <w:r>
        <w:rPr>
          <w:rFonts w:hint="cs"/>
          <w:rtl/>
        </w:rPr>
        <w:t>(ג</w:t>
      </w:r>
      <w:r w:rsidR="00764BD4">
        <w:rPr>
          <w:rFonts w:hint="cs"/>
          <w:rtl/>
        </w:rPr>
        <w:t>)</w:t>
      </w:r>
      <w:r w:rsidR="00764BD4">
        <w:rPr>
          <w:rtl/>
        </w:rPr>
        <w:tab/>
      </w:r>
      <w:r w:rsidR="00764BD4">
        <w:rPr>
          <w:rFonts w:hint="cs"/>
          <w:rtl/>
        </w:rPr>
        <w:t xml:space="preserve">קנס בסך של </w:t>
      </w:r>
      <w:r w:rsidR="001C10E4">
        <w:rPr>
          <w:rFonts w:hint="cs"/>
          <w:rtl/>
        </w:rPr>
        <w:t>80,000</w:t>
      </w:r>
      <w:r w:rsidR="00764BD4">
        <w:rPr>
          <w:rFonts w:hint="cs"/>
          <w:rtl/>
        </w:rPr>
        <w:t xml:space="preserve"> ₪, או </w:t>
      </w:r>
      <w:r w:rsidR="001C10E4">
        <w:rPr>
          <w:rFonts w:hint="cs"/>
          <w:rtl/>
        </w:rPr>
        <w:t xml:space="preserve">חודשיים </w:t>
      </w:r>
      <w:r w:rsidR="00764BD4">
        <w:rPr>
          <w:rFonts w:hint="cs"/>
          <w:rtl/>
        </w:rPr>
        <w:t>מאסר תמורתו.</w:t>
      </w:r>
    </w:p>
    <w:p w:rsidR="00764BD4" w:rsidRDefault="00764BD4" w:rsidP="00F70C31">
      <w:pPr>
        <w:spacing w:after="240" w:line="360" w:lineRule="auto"/>
        <w:ind w:left="1440"/>
        <w:jc w:val="both"/>
        <w:rPr>
          <w:rFonts w:ascii="Tahoma" w:hAnsi="Tahoma"/>
        </w:rPr>
      </w:pPr>
      <w:r>
        <w:rPr>
          <w:rFonts w:hint="cs"/>
          <w:rtl/>
        </w:rPr>
        <w:t>הקנס ישולם ב-</w:t>
      </w:r>
      <w:r w:rsidR="001C10E4">
        <w:rPr>
          <w:rFonts w:hint="cs"/>
          <w:rtl/>
        </w:rPr>
        <w:t>20</w:t>
      </w:r>
      <w:r>
        <w:rPr>
          <w:rFonts w:hint="cs"/>
          <w:rtl/>
        </w:rPr>
        <w:t xml:space="preserve"> תשלומים חודשיים, שווים ורצופים, החל מיום </w:t>
      </w:r>
      <w:r w:rsidR="001C10E4">
        <w:rPr>
          <w:rFonts w:hint="cs"/>
          <w:rtl/>
        </w:rPr>
        <w:t>01.11.2023</w:t>
      </w:r>
      <w:r>
        <w:rPr>
          <w:rFonts w:hint="cs"/>
          <w:rtl/>
        </w:rPr>
        <w:t xml:space="preserve"> ובכל אחד בחודש שלאחריו. היה והנאשם לא ישלם את אחד התשלומים במועד תועמד כל יתרת הקנס לפירעון מידי.</w:t>
      </w:r>
    </w:p>
    <w:p w:rsidR="00764BD4" w:rsidRDefault="00764BD4" w:rsidP="00F70C31">
      <w:pPr>
        <w:snapToGrid w:val="0"/>
        <w:spacing w:after="240" w:line="360" w:lineRule="auto"/>
        <w:jc w:val="both"/>
        <w:rPr>
          <w:rtl/>
        </w:rPr>
      </w:pPr>
      <w:r>
        <w:rPr>
          <w:rFonts w:hint="cs"/>
          <w:rtl/>
        </w:rPr>
        <w:t>זכות ערעור בתוך 45 יום מהיום.</w:t>
      </w:r>
    </w:p>
    <w:p w:rsidR="00507694" w:rsidRDefault="00450137">
      <w:pPr>
        <w:spacing w:line="360" w:lineRule="auto"/>
        <w:jc w:val="both"/>
        <w:rPr>
          <w:rFonts w:ascii="Arial" w:hAnsi="Arial"/>
          <w:rtl/>
        </w:rPr>
      </w:pPr>
      <w:r>
        <w:rPr>
          <w:rFonts w:ascii="Arial" w:hAnsi="Arial"/>
          <w:rtl/>
        </w:rPr>
        <w:t>ניתן היום,</w:t>
      </w:r>
      <w:r w:rsidR="00684E84" w:rsidRPr="00250B83">
        <w:rPr>
          <w:rFonts w:ascii="Arial" w:hAnsi="Arial"/>
          <w:rtl/>
        </w:rPr>
        <w:t xml:space="preserve"> </w:t>
      </w:r>
      <w:sdt>
        <w:sdtPr>
          <w:rPr>
            <w:rtl/>
          </w:rPr>
          <w:alias w:val="1455"/>
          <w:tag w:val="1455"/>
          <w:id w:val="-750497047"/>
          <w:text w:multiLine="1"/>
        </w:sdtPr>
        <w:sdtEndPr/>
        <w:sdtContent>
          <w:r>
            <w:rPr>
              <w:rFonts w:ascii="Arial" w:hAnsi="Arial"/>
              <w:rtl/>
            </w:rPr>
            <w:t>י' סיוון תשפ"ג</w:t>
          </w:r>
        </w:sdtContent>
      </w:sdt>
      <w:r w:rsidR="00684E84" w:rsidRPr="00250B83">
        <w:rPr>
          <w:rFonts w:ascii="Arial" w:hAnsi="Arial"/>
          <w:rtl/>
        </w:rPr>
        <w:t xml:space="preserve">, </w:t>
      </w:r>
      <w:sdt>
        <w:sdtPr>
          <w:rPr>
            <w:rtl/>
          </w:rPr>
          <w:alias w:val="1456"/>
          <w:tag w:val="1456"/>
          <w:id w:val="367718347"/>
          <w:text w:multiLine="1"/>
        </w:sdtPr>
        <w:sdtEndPr/>
        <w:sdtContent>
          <w:r>
            <w:rPr>
              <w:rFonts w:ascii="Arial" w:hAnsi="Arial"/>
              <w:rtl/>
            </w:rPr>
            <w:t>30 מאי 2023</w:t>
          </w:r>
        </w:sdtContent>
      </w:sdt>
      <w:r>
        <w:rPr>
          <w:rFonts w:ascii="Arial" w:hAnsi="Arial"/>
          <w:rtl/>
        </w:rPr>
        <w:t>, ב</w:t>
      </w:r>
      <w:r>
        <w:rPr>
          <w:rFonts w:ascii="Arial" w:hAnsi="Arial" w:hint="cs"/>
          <w:rtl/>
        </w:rPr>
        <w:t>מעמד</w:t>
      </w:r>
      <w:r w:rsidR="00684E84" w:rsidRPr="00250B83">
        <w:rPr>
          <w:rFonts w:ascii="Arial" w:hAnsi="Arial"/>
          <w:rtl/>
        </w:rPr>
        <w:t xml:space="preserve"> הצדדים.</w:t>
      </w:r>
    </w:p>
    <w:p w:rsidR="00F70C31" w:rsidRPr="00250B83" w:rsidRDefault="00F70C31">
      <w:pPr>
        <w:spacing w:line="360" w:lineRule="auto"/>
        <w:jc w:val="both"/>
        <w:rPr>
          <w:rFonts w:ascii="Arial" w:hAnsi="Arial"/>
        </w:rPr>
      </w:pPr>
    </w:p>
    <w:p w:rsidR="00507694" w:rsidRPr="00250B83" w:rsidRDefault="00507694">
      <w:pPr>
        <w:rPr>
          <w:rtl/>
        </w:rPr>
      </w:pPr>
    </w:p>
    <w:p w:rsidR="00507694" w:rsidRPr="00250B83" w:rsidRDefault="003E0C9F" w:rsidP="003E0C9F">
      <w:pPr>
        <w:jc w:val="center"/>
      </w:pPr>
      <w:r w:rsidRPr="00250B83">
        <w:rPr>
          <w:rFonts w:hint="cs"/>
          <w:rtl/>
        </w:rPr>
        <w:t xml:space="preserve">   </w:t>
      </w:r>
      <w:r w:rsidRPr="00250B83">
        <w:rPr>
          <w:rFonts w:hint="cs"/>
          <w:rtl/>
        </w:rPr>
        <w:tab/>
      </w:r>
      <w:r w:rsidRPr="00250B83">
        <w:rPr>
          <w:rFonts w:hint="cs"/>
          <w:rtl/>
        </w:rPr>
        <w:tab/>
      </w:r>
      <w:r w:rsidRPr="00250B83">
        <w:rPr>
          <w:rFonts w:hint="cs"/>
          <w:rtl/>
        </w:rPr>
        <w:tab/>
      </w:r>
      <w:r w:rsidRPr="00250B83">
        <w:rPr>
          <w:rFonts w:hint="cs"/>
          <w:rtl/>
        </w:rPr>
        <w:tab/>
      </w:r>
      <w:r w:rsidRPr="00250B83">
        <w:rPr>
          <w:rFonts w:hint="cs"/>
          <w:rtl/>
        </w:rPr>
        <w:tab/>
      </w:r>
      <w:sdt>
        <w:sdtPr>
          <w:rPr>
            <w:rtl/>
          </w:rPr>
          <w:alias w:val="MergeField"/>
          <w:tag w:val="1237"/>
          <w:id w:val="-582911770"/>
        </w:sdtPr>
        <w:sdtEndPr/>
        <w:sdtContent>
          <w:r w:rsidR="009269A9">
            <w:rPr>
              <w:noProof/>
            </w:rPr>
            <w:drawing>
              <wp:inline distT="0" distB="0" distL="0" distR="0" wp14:editId="50D07946">
                <wp:extent cx="1457325"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57325" cy="685800"/>
                        </a:xfrm>
                        <a:prstGeom prst="rect">
                          <a:avLst/>
                        </a:prstGeom>
                      </pic:spPr>
                    </pic:pic>
                  </a:graphicData>
                </a:graphic>
              </wp:inline>
            </w:drawing>
          </w:r>
        </w:sdtContent>
      </w:sdt>
    </w:p>
    <w:p w:rsidR="00507694" w:rsidRPr="00250B83" w:rsidRDefault="00507694" w:rsidP="003E0C9F">
      <w:pPr>
        <w:jc w:val="center"/>
        <w:rPr>
          <w:rFonts w:ascii="Arial" w:hAnsi="Arial"/>
          <w:rtl/>
        </w:rPr>
      </w:pPr>
    </w:p>
    <w:p w:rsidR="00507694" w:rsidRPr="00250B83" w:rsidRDefault="00507694">
      <w:pPr>
        <w:rPr>
          <w:rtl/>
        </w:rPr>
      </w:pPr>
    </w:p>
    <w:p w:rsidR="00507694" w:rsidRDefault="00507694">
      <w:pPr>
        <w:pStyle w:val="a3"/>
        <w:jc w:val="center"/>
        <w:rPr>
          <w:rtl/>
        </w:rPr>
      </w:pPr>
    </w:p>
    <w:sectPr w:rsidR="00507694" w:rsidSect="00A87018">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5FC" w:rsidRDefault="003255FC">
      <w:r>
        <w:separator/>
      </w:r>
    </w:p>
  </w:endnote>
  <w:endnote w:type="continuationSeparator" w:id="0">
    <w:p w:rsidR="003255FC" w:rsidRDefault="00325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211C6A">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211C6A">
      <w:rPr>
        <w:noProof/>
        <w:rtl/>
      </w:rPr>
      <w:t>12</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9A9" w:rsidRDefault="009269A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5FC" w:rsidRDefault="003255FC">
      <w:r>
        <w:separator/>
      </w:r>
    </w:p>
  </w:footnote>
  <w:footnote w:type="continuationSeparator" w:id="0">
    <w:p w:rsidR="003255FC" w:rsidRDefault="003255FC">
      <w:r>
        <w:continuationSeparator/>
      </w:r>
    </w:p>
  </w:footnote>
  <w:footnote w:id="1">
    <w:p w:rsidR="00C37B49" w:rsidRDefault="00C37B49" w:rsidP="00C37B49">
      <w:pPr>
        <w:pStyle w:val="aa"/>
        <w:spacing w:line="360" w:lineRule="auto"/>
        <w:jc w:val="both"/>
        <w:rPr>
          <w:rFonts w:ascii="David" w:hAnsi="David" w:cs="David"/>
        </w:rPr>
      </w:pPr>
      <w:r>
        <w:rPr>
          <w:rStyle w:val="ac"/>
          <w:rFonts w:ascii="David" w:hAnsi="David" w:cs="David"/>
        </w:rPr>
        <w:footnoteRef/>
      </w:r>
      <w:r>
        <w:rPr>
          <w:rFonts w:ascii="David" w:hAnsi="David" w:cs="David"/>
          <w:rtl/>
        </w:rPr>
        <w:t xml:space="preserve"> כל ההדגשות המופיעות בציטוטים שבגזר דין זה </w:t>
      </w:r>
      <w:r>
        <w:rPr>
          <w:rFonts w:ascii="David" w:hAnsi="David" w:cs="David"/>
          <w:b/>
          <w:bCs/>
          <w:u w:val="single"/>
          <w:rtl/>
        </w:rPr>
        <w:t>אינן</w:t>
      </w:r>
      <w:r>
        <w:rPr>
          <w:rFonts w:ascii="David" w:hAnsi="David" w:cs="David"/>
          <w:rtl/>
        </w:rPr>
        <w:t xml:space="preserve"> מופיעות במקור והן תוספות של הח"מ. התוספות בסוגריים מרובעים, בתוך הציטוטים, באות ללמד על תיקון טעויות הקלדה. תיקונים לכתיב תקני מלא אינם מצוינים.</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9A9" w:rsidRDefault="009269A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230C99C8" wp14:editId="35745F41">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27"/>
      <w:gridCol w:w="3480"/>
    </w:tblGrid>
    <w:tr w:rsidR="00507694">
      <w:trPr>
        <w:trHeight w:hRule="exact" w:val="418"/>
        <w:jc w:val="center"/>
      </w:trPr>
      <w:sdt>
        <w:sdtPr>
          <w:rPr>
            <w:sz w:val="32"/>
            <w:szCs w:val="32"/>
            <w:rtl/>
          </w:rPr>
          <w:alias w:val="1174"/>
          <w:tag w:val="1174"/>
          <w:id w:val="-140351139"/>
          <w:text/>
        </w:sdtPr>
        <w:sdtEndPr/>
        <w:sdtContent>
          <w:tc>
            <w:tcPr>
              <w:tcW w:w="8861" w:type="dxa"/>
              <w:gridSpan w:val="2"/>
            </w:tcPr>
            <w:p w:rsidR="00507694" w:rsidRPr="00250B83" w:rsidRDefault="00684E84">
              <w:pPr>
                <w:pStyle w:val="a3"/>
                <w:jc w:val="center"/>
                <w:rPr>
                  <w:rFonts w:ascii="Tahoma" w:hAnsi="Tahoma"/>
                  <w:color w:val="000080"/>
                  <w:sz w:val="32"/>
                  <w:szCs w:val="32"/>
                  <w:rtl/>
                </w:rPr>
              </w:pPr>
              <w:r w:rsidRPr="00250B83">
                <w:rPr>
                  <w:rFonts w:ascii="Tahoma" w:hAnsi="Tahoma"/>
                  <w:b/>
                  <w:bCs/>
                  <w:color w:val="000080"/>
                  <w:sz w:val="32"/>
                  <w:szCs w:val="32"/>
                  <w:rtl/>
                </w:rPr>
                <w:t>בית משפט השלום בתל אביב - יפו</w:t>
              </w:r>
            </w:p>
          </w:tc>
        </w:sdtContent>
      </w:sdt>
    </w:tr>
    <w:tr w:rsidR="00507694">
      <w:trPr>
        <w:trHeight w:val="337"/>
        <w:jc w:val="center"/>
      </w:trPr>
      <w:tc>
        <w:tcPr>
          <w:tcW w:w="5131" w:type="dxa"/>
        </w:tcPr>
        <w:p w:rsidR="00507694" w:rsidRPr="004D24E2" w:rsidRDefault="003255FC" w:rsidP="004D24E2">
          <w:pPr>
            <w:rPr>
              <w:sz w:val="26"/>
              <w:szCs w:val="26"/>
              <w:rtl/>
            </w:rPr>
          </w:pPr>
          <w:sdt>
            <w:sdtPr>
              <w:rPr>
                <w:sz w:val="26"/>
                <w:szCs w:val="26"/>
                <w:rtl/>
              </w:rPr>
              <w:alias w:val="1170"/>
              <w:tag w:val="1170"/>
              <w:id w:val="2112628154"/>
              <w:text w:multiLine="1"/>
            </w:sdtPr>
            <w:sdtEndPr/>
            <w:sdtContent>
              <w:r w:rsidR="00A87018">
                <w:rPr>
                  <w:sz w:val="26"/>
                  <w:szCs w:val="26"/>
                  <w:rtl/>
                </w:rPr>
                <w:t>ת"פ</w:t>
              </w:r>
            </w:sdtContent>
          </w:sdt>
          <w:r w:rsidR="00684E84" w:rsidRPr="00250B83">
            <w:rPr>
              <w:rFonts w:hint="cs"/>
              <w:sz w:val="26"/>
              <w:szCs w:val="26"/>
              <w:rtl/>
            </w:rPr>
            <w:t xml:space="preserve"> </w:t>
          </w:r>
          <w:bookmarkStart w:id="0" w:name="_GoBack"/>
          <w:sdt>
            <w:sdtPr>
              <w:rPr>
                <w:sz w:val="26"/>
                <w:szCs w:val="26"/>
                <w:rtl/>
              </w:rPr>
              <w:alias w:val="1171"/>
              <w:tag w:val="1171"/>
              <w:id w:val="-1870053316"/>
              <w:text w:multiLine="1"/>
            </w:sdtPr>
            <w:sdtEndPr/>
            <w:sdtContent>
              <w:r w:rsidR="00A87018">
                <w:rPr>
                  <w:sz w:val="26"/>
                  <w:szCs w:val="26"/>
                  <w:rtl/>
                </w:rPr>
                <w:t>24769-11-17</w:t>
              </w:r>
            </w:sdtContent>
          </w:sdt>
          <w:bookmarkEnd w:id="0"/>
          <w:r w:rsidR="00684E84" w:rsidRPr="00250B83">
            <w:rPr>
              <w:rFonts w:hint="cs"/>
              <w:sz w:val="26"/>
              <w:szCs w:val="26"/>
              <w:rtl/>
            </w:rPr>
            <w:t xml:space="preserve"> </w:t>
          </w:r>
          <w:sdt>
            <w:sdtPr>
              <w:rPr>
                <w:b/>
                <w:bCs/>
                <w:sz w:val="26"/>
                <w:szCs w:val="26"/>
                <w:rtl/>
              </w:rPr>
              <w:alias w:val="1172"/>
              <w:tag w:val="1172"/>
              <w:id w:val="-2143494014"/>
              <w:text w:multiLine="1"/>
            </w:sdtPr>
            <w:sdtEndPr/>
            <w:sdtContent>
              <w:r w:rsidR="00A87018" w:rsidRPr="00450137">
                <w:rPr>
                  <w:b/>
                  <w:bCs/>
                  <w:sz w:val="26"/>
                  <w:szCs w:val="26"/>
                  <w:rtl/>
                </w:rPr>
                <w:t>מדינת ישראל נ' כהן</w:t>
              </w:r>
            </w:sdtContent>
          </w:sdt>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9A9" w:rsidRDefault="009269A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BAC56B8"/>
    <w:multiLevelType w:val="hybridMultilevel"/>
    <w:tmpl w:val="284C5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2281BE8"/>
    <w:multiLevelType w:val="hybridMultilevel"/>
    <w:tmpl w:val="BEB6ED04"/>
    <w:lvl w:ilvl="0" w:tplc="5FAE155A">
      <w:start w:val="1"/>
      <w:numFmt w:val="decimal"/>
      <w:lvlText w:val="%1."/>
      <w:lvlJc w:val="left"/>
      <w:pPr>
        <w:tabs>
          <w:tab w:val="num" w:pos="1080"/>
        </w:tabs>
        <w:ind w:left="1080" w:hanging="720"/>
      </w:pPr>
      <w:rPr>
        <w:rFonts w:cs="David"/>
        <w:b w:val="0"/>
        <w:bCs w:val="0"/>
        <w:lang w:val="en-U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17FF6"/>
    <w:rsid w:val="00031F8A"/>
    <w:rsid w:val="00054FC4"/>
    <w:rsid w:val="0006726A"/>
    <w:rsid w:val="000817B6"/>
    <w:rsid w:val="000900F8"/>
    <w:rsid w:val="000B019D"/>
    <w:rsid w:val="000F1FFA"/>
    <w:rsid w:val="00100577"/>
    <w:rsid w:val="00110808"/>
    <w:rsid w:val="001359DB"/>
    <w:rsid w:val="0013653D"/>
    <w:rsid w:val="001621BC"/>
    <w:rsid w:val="00165E4D"/>
    <w:rsid w:val="001926F0"/>
    <w:rsid w:val="001C10E4"/>
    <w:rsid w:val="001C26EC"/>
    <w:rsid w:val="00211C6A"/>
    <w:rsid w:val="00212125"/>
    <w:rsid w:val="00212457"/>
    <w:rsid w:val="00236D5F"/>
    <w:rsid w:val="00250B83"/>
    <w:rsid w:val="0025229A"/>
    <w:rsid w:val="00254ED0"/>
    <w:rsid w:val="00286A1F"/>
    <w:rsid w:val="002D6C61"/>
    <w:rsid w:val="003255FC"/>
    <w:rsid w:val="0033652D"/>
    <w:rsid w:val="00341D79"/>
    <w:rsid w:val="00342308"/>
    <w:rsid w:val="00367565"/>
    <w:rsid w:val="00393F17"/>
    <w:rsid w:val="003A6EF1"/>
    <w:rsid w:val="003E0C9F"/>
    <w:rsid w:val="003F6667"/>
    <w:rsid w:val="004041AC"/>
    <w:rsid w:val="004215DC"/>
    <w:rsid w:val="00450137"/>
    <w:rsid w:val="00463CB9"/>
    <w:rsid w:val="004A5084"/>
    <w:rsid w:val="004C31C6"/>
    <w:rsid w:val="004D24E2"/>
    <w:rsid w:val="00500E8F"/>
    <w:rsid w:val="00507694"/>
    <w:rsid w:val="0052276E"/>
    <w:rsid w:val="00571285"/>
    <w:rsid w:val="005A3018"/>
    <w:rsid w:val="005A37E2"/>
    <w:rsid w:val="005B0F84"/>
    <w:rsid w:val="005C7B0B"/>
    <w:rsid w:val="005F34A3"/>
    <w:rsid w:val="005F73DF"/>
    <w:rsid w:val="00632D94"/>
    <w:rsid w:val="006433BE"/>
    <w:rsid w:val="006466B3"/>
    <w:rsid w:val="00655BF6"/>
    <w:rsid w:val="00683ABD"/>
    <w:rsid w:val="00684E84"/>
    <w:rsid w:val="00693175"/>
    <w:rsid w:val="006B0CAD"/>
    <w:rsid w:val="006C2095"/>
    <w:rsid w:val="00731DF5"/>
    <w:rsid w:val="00734233"/>
    <w:rsid w:val="00757983"/>
    <w:rsid w:val="00764BD4"/>
    <w:rsid w:val="00775B54"/>
    <w:rsid w:val="007966F1"/>
    <w:rsid w:val="00796BA1"/>
    <w:rsid w:val="007A0B0D"/>
    <w:rsid w:val="007F49EA"/>
    <w:rsid w:val="007F745F"/>
    <w:rsid w:val="00811B46"/>
    <w:rsid w:val="00821F29"/>
    <w:rsid w:val="00824885"/>
    <w:rsid w:val="0082781D"/>
    <w:rsid w:val="00832D73"/>
    <w:rsid w:val="008504AD"/>
    <w:rsid w:val="008819A4"/>
    <w:rsid w:val="008819B4"/>
    <w:rsid w:val="008850E2"/>
    <w:rsid w:val="00885C23"/>
    <w:rsid w:val="008A785D"/>
    <w:rsid w:val="008F0B83"/>
    <w:rsid w:val="008F146D"/>
    <w:rsid w:val="008F19D0"/>
    <w:rsid w:val="00915F69"/>
    <w:rsid w:val="009269A9"/>
    <w:rsid w:val="009356A6"/>
    <w:rsid w:val="009E35A7"/>
    <w:rsid w:val="009E49A1"/>
    <w:rsid w:val="009F0062"/>
    <w:rsid w:val="009F504D"/>
    <w:rsid w:val="00A1599D"/>
    <w:rsid w:val="00A1613B"/>
    <w:rsid w:val="00A459EF"/>
    <w:rsid w:val="00A504C4"/>
    <w:rsid w:val="00A527B4"/>
    <w:rsid w:val="00A55546"/>
    <w:rsid w:val="00A83AB4"/>
    <w:rsid w:val="00A87018"/>
    <w:rsid w:val="00A9130C"/>
    <w:rsid w:val="00A942D4"/>
    <w:rsid w:val="00B05847"/>
    <w:rsid w:val="00B22E0A"/>
    <w:rsid w:val="00B5523D"/>
    <w:rsid w:val="00B94B0D"/>
    <w:rsid w:val="00B94E4C"/>
    <w:rsid w:val="00BA1F7D"/>
    <w:rsid w:val="00BD67E7"/>
    <w:rsid w:val="00BE0015"/>
    <w:rsid w:val="00C02463"/>
    <w:rsid w:val="00C2056F"/>
    <w:rsid w:val="00C23C2A"/>
    <w:rsid w:val="00C33C33"/>
    <w:rsid w:val="00C36A82"/>
    <w:rsid w:val="00C37B49"/>
    <w:rsid w:val="00C55E62"/>
    <w:rsid w:val="00C572E8"/>
    <w:rsid w:val="00CE2F98"/>
    <w:rsid w:val="00D202F4"/>
    <w:rsid w:val="00D3203D"/>
    <w:rsid w:val="00D645C3"/>
    <w:rsid w:val="00DD7FE5"/>
    <w:rsid w:val="00DE3AE0"/>
    <w:rsid w:val="00E04C2D"/>
    <w:rsid w:val="00E1509C"/>
    <w:rsid w:val="00E569CB"/>
    <w:rsid w:val="00E6589A"/>
    <w:rsid w:val="00E70F9C"/>
    <w:rsid w:val="00EA13E7"/>
    <w:rsid w:val="00EC5634"/>
    <w:rsid w:val="00ED0D4C"/>
    <w:rsid w:val="00EE7583"/>
    <w:rsid w:val="00EE7D8E"/>
    <w:rsid w:val="00F007AE"/>
    <w:rsid w:val="00F1712F"/>
    <w:rsid w:val="00F17BB1"/>
    <w:rsid w:val="00F416D9"/>
    <w:rsid w:val="00F571F7"/>
    <w:rsid w:val="00F70C31"/>
    <w:rsid w:val="00F71828"/>
    <w:rsid w:val="00F75AFC"/>
    <w:rsid w:val="00FB1C8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paragraph" w:styleId="aa">
    <w:name w:val="footnote text"/>
    <w:basedOn w:val="a"/>
    <w:link w:val="ab"/>
    <w:uiPriority w:val="99"/>
    <w:semiHidden/>
    <w:unhideWhenUsed/>
    <w:rsid w:val="00764BD4"/>
    <w:rPr>
      <w:rFonts w:ascii="Calibri" w:eastAsia="Calibri" w:hAnsi="Calibri" w:cs="Arial"/>
      <w:sz w:val="20"/>
      <w:szCs w:val="20"/>
    </w:rPr>
  </w:style>
  <w:style w:type="character" w:customStyle="1" w:styleId="ab">
    <w:name w:val="טקסט הערת שוליים תו"/>
    <w:basedOn w:val="a0"/>
    <w:link w:val="aa"/>
    <w:uiPriority w:val="99"/>
    <w:semiHidden/>
    <w:rsid w:val="00764BD4"/>
    <w:rPr>
      <w:rFonts w:ascii="Calibri" w:eastAsia="Calibri" w:hAnsi="Calibri" w:cs="Arial"/>
    </w:rPr>
  </w:style>
  <w:style w:type="character" w:styleId="ac">
    <w:name w:val="footnote reference"/>
    <w:uiPriority w:val="99"/>
    <w:semiHidden/>
    <w:unhideWhenUsed/>
    <w:rsid w:val="00764BD4"/>
    <w:rPr>
      <w:vertAlign w:val="superscript"/>
    </w:rPr>
  </w:style>
  <w:style w:type="paragraph" w:styleId="ad">
    <w:name w:val="List Paragraph"/>
    <w:basedOn w:val="a"/>
    <w:uiPriority w:val="34"/>
    <w:qFormat/>
    <w:rsid w:val="00C36A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133358">
      <w:bodyDiv w:val="1"/>
      <w:marLeft w:val="0"/>
      <w:marRight w:val="0"/>
      <w:marTop w:val="0"/>
      <w:marBottom w:val="0"/>
      <w:divBdr>
        <w:top w:val="none" w:sz="0" w:space="0" w:color="auto"/>
        <w:left w:val="none" w:sz="0" w:space="0" w:color="auto"/>
        <w:bottom w:val="none" w:sz="0" w:space="0" w:color="auto"/>
        <w:right w:val="none" w:sz="0" w:space="0" w:color="auto"/>
      </w:divBdr>
    </w:div>
    <w:div w:id="479536463">
      <w:bodyDiv w:val="1"/>
      <w:marLeft w:val="0"/>
      <w:marRight w:val="0"/>
      <w:marTop w:val="0"/>
      <w:marBottom w:val="0"/>
      <w:divBdr>
        <w:top w:val="none" w:sz="0" w:space="0" w:color="auto"/>
        <w:left w:val="none" w:sz="0" w:space="0" w:color="auto"/>
        <w:bottom w:val="none" w:sz="0" w:space="0" w:color="auto"/>
        <w:right w:val="none" w:sz="0" w:space="0" w:color="auto"/>
      </w:divBdr>
    </w:div>
    <w:div w:id="876355189">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4413</Words>
  <Characters>22070</Characters>
  <Application>Microsoft Office Word</Application>
  <DocSecurity>0</DocSecurity>
  <Lines>183</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2023-06-01T09:52:00Z</dcterms:created>
  <dcterms:modified xsi:type="dcterms:W3CDTF">2023-06-01T09:52:00Z</dcterms:modified>
</cp:coreProperties>
</file>